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63" w:rsidRPr="00A62571" w:rsidRDefault="001B2463" w:rsidP="001B2463">
      <w:pPr>
        <w:pStyle w:val="Default"/>
        <w:spacing w:after="240"/>
        <w:jc w:val="right"/>
        <w:rPr>
          <w:rFonts w:ascii="Garamond" w:hAnsi="Garamond"/>
          <w:sz w:val="22"/>
          <w:szCs w:val="22"/>
        </w:rPr>
      </w:pPr>
      <w:r w:rsidRPr="00A62571">
        <w:rPr>
          <w:rFonts w:ascii="Garamond" w:hAnsi="Garamond"/>
          <w:sz w:val="22"/>
          <w:szCs w:val="22"/>
        </w:rPr>
        <w:t xml:space="preserve">Warszawa, 28 maja 2014 r. </w:t>
      </w:r>
    </w:p>
    <w:p w:rsidR="001B2463" w:rsidRPr="00A62571" w:rsidRDefault="001B2463" w:rsidP="00E67EB5">
      <w:pPr>
        <w:pStyle w:val="Default"/>
        <w:spacing w:after="240"/>
        <w:jc w:val="both"/>
        <w:rPr>
          <w:rFonts w:ascii="Garamond" w:hAnsi="Garamond"/>
          <w:sz w:val="22"/>
          <w:szCs w:val="22"/>
        </w:rPr>
      </w:pPr>
    </w:p>
    <w:p w:rsidR="001B2463" w:rsidRPr="00A62571" w:rsidRDefault="00A62571" w:rsidP="00E67EB5">
      <w:pPr>
        <w:pStyle w:val="Default"/>
        <w:spacing w:after="24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Dotyczy:</w:t>
      </w:r>
    </w:p>
    <w:p w:rsidR="00823204" w:rsidRPr="00A62571" w:rsidRDefault="001B2463" w:rsidP="00A62571">
      <w:pPr>
        <w:pStyle w:val="Default"/>
        <w:spacing w:after="240"/>
        <w:jc w:val="center"/>
        <w:rPr>
          <w:rFonts w:ascii="Garamond" w:hAnsi="Garamond"/>
          <w:b/>
          <w:sz w:val="22"/>
          <w:szCs w:val="22"/>
        </w:rPr>
      </w:pPr>
      <w:r w:rsidRPr="00A62571">
        <w:rPr>
          <w:rFonts w:ascii="Garamond" w:hAnsi="Garamond"/>
          <w:b/>
          <w:sz w:val="22"/>
          <w:szCs w:val="22"/>
        </w:rPr>
        <w:t>KONKURS NA WYBÓR AUTORA SCENARIUSZY EDUKACYJNYCH OPARTYCH NA MATERIAŁACH PORTALU „POLSCY SPRAWIEDLIWI – PRZYWRACANIE PAMIĘCI” W RAMACH KOMPONENTU „SĄSIEDZI – ŚWIADKOWIE. PRZEDMIOTY, LUDZIE OPOWIEŚCI”</w:t>
      </w:r>
    </w:p>
    <w:p w:rsidR="00E67EB5" w:rsidRPr="00A62571" w:rsidRDefault="00E67EB5" w:rsidP="00E67EB5">
      <w:pPr>
        <w:pStyle w:val="Default"/>
        <w:spacing w:after="240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A62571">
        <w:rPr>
          <w:rFonts w:ascii="Garamond" w:hAnsi="Garamond"/>
          <w:sz w:val="22"/>
          <w:szCs w:val="22"/>
        </w:rPr>
        <w:t>Na mocy punktu 9 działu IV Zas</w:t>
      </w:r>
      <w:r w:rsidR="00A62571">
        <w:rPr>
          <w:rFonts w:ascii="Garamond" w:hAnsi="Garamond"/>
          <w:sz w:val="22"/>
          <w:szCs w:val="22"/>
        </w:rPr>
        <w:t>ady konkursu regulaminu konkurs</w:t>
      </w:r>
      <w:r w:rsidRPr="00A62571">
        <w:rPr>
          <w:rFonts w:ascii="Garamond" w:hAnsi="Garamond"/>
          <w:sz w:val="22"/>
          <w:szCs w:val="22"/>
        </w:rPr>
        <w:t xml:space="preserve"> na wybór autora scenariuszy edukacyjnych opartych na materiałach portalu „Polscy Sprawiedliwi – Przywracanie Pamięci” realizowanego w ramach projektu „Żydowskie Dziedzictwo Kulturowe” w latach 2013-2016 </w:t>
      </w:r>
      <w:r w:rsidRPr="00A62571">
        <w:rPr>
          <w:rFonts w:ascii="Garamond" w:hAnsi="Garamond" w:cs="Times New Roman"/>
          <w:color w:val="auto"/>
          <w:sz w:val="22"/>
          <w:szCs w:val="22"/>
        </w:rPr>
        <w:t>finansowanego ze środków Mechanizmu Finansowego Europejskiego Obszaru Gospodarczego 2009–2014 i środków Norweskiego Mechanizmu Finansowego 2009-2014 w ramach projektu „Konserwacja i rewitalizacja dziedzictwa kulturowego” (PL08), nr umowy 1/PD/2013/PL08/NMF</w:t>
      </w:r>
      <w:r w:rsidR="00A62571">
        <w:rPr>
          <w:rFonts w:ascii="Garamond" w:hAnsi="Garamond" w:cs="Times New Roman"/>
          <w:color w:val="auto"/>
          <w:sz w:val="22"/>
          <w:szCs w:val="22"/>
        </w:rPr>
        <w:t xml:space="preserve"> Jury konkursu w składzie:</w:t>
      </w:r>
    </w:p>
    <w:p w:rsidR="00E67EB5" w:rsidRPr="00A62571" w:rsidRDefault="00E67EB5" w:rsidP="00E67EB5">
      <w:pPr>
        <w:pStyle w:val="Default"/>
        <w:spacing w:after="240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A62571">
        <w:rPr>
          <w:rFonts w:ascii="Garamond" w:hAnsi="Garamond" w:cs="Times New Roman"/>
          <w:color w:val="auto"/>
          <w:sz w:val="22"/>
          <w:szCs w:val="22"/>
        </w:rPr>
        <w:t>Monika Koszyńska</w:t>
      </w:r>
      <w:r w:rsidR="001B2463" w:rsidRPr="00A62571">
        <w:rPr>
          <w:rFonts w:ascii="Garamond" w:hAnsi="Garamond" w:cs="Times New Roman"/>
          <w:color w:val="auto"/>
          <w:sz w:val="22"/>
          <w:szCs w:val="22"/>
        </w:rPr>
        <w:t xml:space="preserve"> </w:t>
      </w:r>
      <w:r w:rsidR="00973120" w:rsidRPr="00A62571">
        <w:rPr>
          <w:rFonts w:ascii="Garamond" w:hAnsi="Garamond" w:cs="Times New Roman"/>
          <w:color w:val="auto"/>
          <w:sz w:val="22"/>
          <w:szCs w:val="22"/>
        </w:rPr>
        <w:t>–</w:t>
      </w:r>
      <w:r w:rsidR="001B2463" w:rsidRPr="00A62571">
        <w:rPr>
          <w:rFonts w:ascii="Garamond" w:hAnsi="Garamond" w:cs="Times New Roman"/>
          <w:color w:val="auto"/>
          <w:sz w:val="22"/>
          <w:szCs w:val="22"/>
        </w:rPr>
        <w:t xml:space="preserve"> </w:t>
      </w:r>
      <w:r w:rsidR="00973120" w:rsidRPr="00A62571">
        <w:rPr>
          <w:rFonts w:ascii="Garamond" w:hAnsi="Garamond" w:cs="Times New Roman"/>
          <w:color w:val="auto"/>
          <w:sz w:val="22"/>
          <w:szCs w:val="22"/>
        </w:rPr>
        <w:t>Kierownik Sekcji Edukacji Dzieci i Młodzieży, Muzeum Historii Żydów Polskich</w:t>
      </w:r>
    </w:p>
    <w:p w:rsidR="00E67EB5" w:rsidRPr="00A62571" w:rsidRDefault="00E67EB5" w:rsidP="00E67EB5">
      <w:pPr>
        <w:pStyle w:val="Default"/>
        <w:spacing w:after="240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A62571">
        <w:rPr>
          <w:rFonts w:ascii="Garamond" w:hAnsi="Garamond" w:cs="Times New Roman"/>
          <w:color w:val="auto"/>
          <w:sz w:val="22"/>
          <w:szCs w:val="22"/>
        </w:rPr>
        <w:t>Klara Jackl</w:t>
      </w:r>
      <w:r w:rsidR="00973120" w:rsidRPr="00A62571">
        <w:rPr>
          <w:rFonts w:ascii="Garamond" w:hAnsi="Garamond" w:cs="Times New Roman"/>
          <w:color w:val="auto"/>
          <w:sz w:val="22"/>
          <w:szCs w:val="22"/>
        </w:rPr>
        <w:t xml:space="preserve"> – Specjalista ds. projektu Polscy Sprawiedliwi, Muzeum Historii Żydów Polskich</w:t>
      </w:r>
    </w:p>
    <w:p w:rsidR="00973120" w:rsidRPr="00A62571" w:rsidRDefault="00E67EB5" w:rsidP="00973120">
      <w:pPr>
        <w:pStyle w:val="Default"/>
        <w:spacing w:after="240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A62571">
        <w:rPr>
          <w:rFonts w:ascii="Garamond" w:hAnsi="Garamond" w:cs="Times New Roman"/>
          <w:color w:val="auto"/>
          <w:sz w:val="22"/>
          <w:szCs w:val="22"/>
        </w:rPr>
        <w:t>Joanna Król</w:t>
      </w:r>
      <w:r w:rsidR="001B2463" w:rsidRPr="00A62571">
        <w:rPr>
          <w:rFonts w:ascii="Garamond" w:hAnsi="Garamond" w:cs="Times New Roman"/>
          <w:color w:val="auto"/>
          <w:sz w:val="22"/>
          <w:szCs w:val="22"/>
        </w:rPr>
        <w:t xml:space="preserve"> </w:t>
      </w:r>
      <w:r w:rsidR="00973120" w:rsidRPr="00A62571">
        <w:rPr>
          <w:rFonts w:ascii="Garamond" w:hAnsi="Garamond" w:cs="Times New Roman"/>
          <w:color w:val="auto"/>
          <w:sz w:val="22"/>
          <w:szCs w:val="22"/>
        </w:rPr>
        <w:t>–</w:t>
      </w:r>
      <w:r w:rsidR="001B2463" w:rsidRPr="00A62571">
        <w:rPr>
          <w:rFonts w:ascii="Garamond" w:hAnsi="Garamond" w:cs="Times New Roman"/>
          <w:color w:val="auto"/>
          <w:sz w:val="22"/>
          <w:szCs w:val="22"/>
        </w:rPr>
        <w:t xml:space="preserve"> </w:t>
      </w:r>
      <w:r w:rsidR="00973120" w:rsidRPr="00A62571">
        <w:rPr>
          <w:rFonts w:ascii="Garamond" w:hAnsi="Garamond" w:cs="Times New Roman"/>
          <w:color w:val="auto"/>
          <w:sz w:val="22"/>
          <w:szCs w:val="22"/>
        </w:rPr>
        <w:t>Specjalista ds. koordynacji historii mówionej, p.o. koordynatora merytorycznego komponentu V, Muzeum Historii Żydów Polskich</w:t>
      </w:r>
    </w:p>
    <w:p w:rsidR="00E67EB5" w:rsidRPr="00A62571" w:rsidRDefault="00E67EB5" w:rsidP="00E67EB5">
      <w:pPr>
        <w:pStyle w:val="Default"/>
        <w:spacing w:after="240"/>
        <w:jc w:val="both"/>
        <w:rPr>
          <w:rFonts w:ascii="Garamond" w:hAnsi="Garamond" w:cs="Times New Roman"/>
          <w:color w:val="auto"/>
          <w:sz w:val="22"/>
          <w:szCs w:val="22"/>
        </w:rPr>
      </w:pPr>
    </w:p>
    <w:p w:rsidR="00E67EB5" w:rsidRPr="00A62571" w:rsidRDefault="001B2463" w:rsidP="00E67EB5">
      <w:pPr>
        <w:pStyle w:val="Default"/>
        <w:spacing w:after="240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A62571">
        <w:rPr>
          <w:rFonts w:ascii="Garamond" w:hAnsi="Garamond" w:cs="Times New Roman"/>
          <w:color w:val="auto"/>
          <w:sz w:val="22"/>
          <w:szCs w:val="22"/>
        </w:rPr>
        <w:t>u</w:t>
      </w:r>
      <w:r w:rsidR="00E67EB5" w:rsidRPr="00A62571">
        <w:rPr>
          <w:rFonts w:ascii="Garamond" w:hAnsi="Garamond" w:cs="Times New Roman"/>
          <w:color w:val="auto"/>
          <w:sz w:val="22"/>
          <w:szCs w:val="22"/>
        </w:rPr>
        <w:t xml:space="preserve">znaje konkurs za nierozstrzygnięty. </w:t>
      </w:r>
    </w:p>
    <w:p w:rsidR="00E67EB5" w:rsidRPr="00A62571" w:rsidRDefault="00E67EB5" w:rsidP="00E67EB5">
      <w:pPr>
        <w:pStyle w:val="Default"/>
        <w:spacing w:after="240"/>
        <w:jc w:val="both"/>
        <w:rPr>
          <w:rFonts w:ascii="Garamond" w:hAnsi="Garamond" w:cs="Times New Roman"/>
          <w:color w:val="auto"/>
          <w:sz w:val="22"/>
          <w:szCs w:val="22"/>
        </w:rPr>
      </w:pPr>
    </w:p>
    <w:p w:rsidR="00E67EB5" w:rsidRPr="00A62571" w:rsidRDefault="00E67EB5" w:rsidP="001B2463">
      <w:pPr>
        <w:pStyle w:val="Default"/>
        <w:spacing w:after="240"/>
        <w:jc w:val="center"/>
        <w:rPr>
          <w:rFonts w:ascii="Garamond" w:hAnsi="Garamond" w:cs="Times New Roman"/>
          <w:b/>
          <w:color w:val="auto"/>
          <w:sz w:val="22"/>
          <w:szCs w:val="22"/>
        </w:rPr>
      </w:pPr>
      <w:r w:rsidRPr="00A62571">
        <w:rPr>
          <w:rFonts w:ascii="Garamond" w:hAnsi="Garamond" w:cs="Times New Roman"/>
          <w:b/>
          <w:color w:val="auto"/>
          <w:sz w:val="22"/>
          <w:szCs w:val="22"/>
        </w:rPr>
        <w:t>Uzasadnienie decyzji Jury</w:t>
      </w:r>
    </w:p>
    <w:p w:rsidR="001B2463" w:rsidRPr="00A62571" w:rsidRDefault="001B2463" w:rsidP="00E67EB5">
      <w:pPr>
        <w:pStyle w:val="Default"/>
        <w:spacing w:after="240"/>
        <w:jc w:val="both"/>
        <w:rPr>
          <w:rFonts w:ascii="Garamond" w:hAnsi="Garamond" w:cs="Times New Roman"/>
          <w:color w:val="auto"/>
          <w:sz w:val="22"/>
          <w:szCs w:val="22"/>
        </w:rPr>
      </w:pPr>
    </w:p>
    <w:p w:rsidR="001B2463" w:rsidRPr="00A62571" w:rsidRDefault="001B2463" w:rsidP="00E67EB5">
      <w:pPr>
        <w:pStyle w:val="Default"/>
        <w:spacing w:after="240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A62571">
        <w:rPr>
          <w:rFonts w:ascii="Garamond" w:hAnsi="Garamond" w:cs="Times New Roman"/>
          <w:color w:val="auto"/>
          <w:sz w:val="22"/>
          <w:szCs w:val="22"/>
        </w:rPr>
        <w:t xml:space="preserve">Napłynęło zbyt mało prac konkursowych, by wybrać </w:t>
      </w:r>
      <w:bookmarkStart w:id="0" w:name="_GoBack"/>
      <w:bookmarkEnd w:id="0"/>
      <w:r w:rsidRPr="00A62571">
        <w:rPr>
          <w:rFonts w:ascii="Garamond" w:hAnsi="Garamond" w:cs="Times New Roman"/>
          <w:color w:val="auto"/>
          <w:sz w:val="22"/>
          <w:szCs w:val="22"/>
        </w:rPr>
        <w:t>najlepszą pracę. Otrzymane oferty cenowo znacznie przekraczały zaplanowany budżet Zamawiającego. Wszystkie nadesłane oferty nie spełniły wymogów merytorycznych dotyczących stworzenia koncepcji scenariuszy edukacyjnych do film</w:t>
      </w:r>
      <w:r w:rsidR="00823204" w:rsidRPr="00A62571">
        <w:rPr>
          <w:rFonts w:ascii="Garamond" w:hAnsi="Garamond" w:cs="Times New Roman"/>
          <w:color w:val="auto"/>
          <w:sz w:val="22"/>
          <w:szCs w:val="22"/>
        </w:rPr>
        <w:t>u dokumentalnego</w:t>
      </w:r>
      <w:r w:rsidRPr="00A62571">
        <w:rPr>
          <w:rFonts w:ascii="Garamond" w:hAnsi="Garamond" w:cs="Times New Roman"/>
          <w:color w:val="auto"/>
          <w:sz w:val="22"/>
          <w:szCs w:val="22"/>
        </w:rPr>
        <w:t xml:space="preserve"> „Ocaleni”, co powoduj</w:t>
      </w:r>
      <w:r w:rsidR="00823204" w:rsidRPr="00A62571">
        <w:rPr>
          <w:rFonts w:ascii="Garamond" w:hAnsi="Garamond" w:cs="Times New Roman"/>
          <w:color w:val="auto"/>
          <w:sz w:val="22"/>
          <w:szCs w:val="22"/>
        </w:rPr>
        <w:t>e ich merytoryczną</w:t>
      </w:r>
      <w:r w:rsidRPr="00A62571">
        <w:rPr>
          <w:rFonts w:ascii="Garamond" w:hAnsi="Garamond" w:cs="Times New Roman"/>
          <w:color w:val="auto"/>
          <w:sz w:val="22"/>
          <w:szCs w:val="22"/>
        </w:rPr>
        <w:t xml:space="preserve"> dyskwalifikację. </w:t>
      </w:r>
    </w:p>
    <w:p w:rsidR="00E02335" w:rsidRPr="00A62571" w:rsidRDefault="001B2463" w:rsidP="00823204">
      <w:pPr>
        <w:pStyle w:val="Default"/>
        <w:spacing w:after="240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A62571">
        <w:rPr>
          <w:rFonts w:ascii="Garamond" w:hAnsi="Garamond" w:cs="Times New Roman"/>
          <w:color w:val="auto"/>
          <w:sz w:val="22"/>
          <w:szCs w:val="22"/>
        </w:rPr>
        <w:t xml:space="preserve">Dziękujemy wszystkim kandydatom za udział. </w:t>
      </w:r>
    </w:p>
    <w:sectPr w:rsidR="00E02335" w:rsidRPr="00A625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309" w:rsidRDefault="00E16309" w:rsidP="00A62571">
      <w:pPr>
        <w:spacing w:after="0" w:line="240" w:lineRule="auto"/>
      </w:pPr>
      <w:r>
        <w:separator/>
      </w:r>
    </w:p>
  </w:endnote>
  <w:endnote w:type="continuationSeparator" w:id="0">
    <w:p w:rsidR="00E16309" w:rsidRDefault="00E16309" w:rsidP="00A6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309" w:rsidRDefault="00E16309" w:rsidP="00A62571">
      <w:pPr>
        <w:spacing w:after="0" w:line="240" w:lineRule="auto"/>
      </w:pPr>
      <w:r>
        <w:separator/>
      </w:r>
    </w:p>
  </w:footnote>
  <w:footnote w:type="continuationSeparator" w:id="0">
    <w:p w:rsidR="00E16309" w:rsidRDefault="00E16309" w:rsidP="00A6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571" w:rsidRDefault="00A62571" w:rsidP="00A62571">
    <w:pPr>
      <w:pStyle w:val="Nagwek"/>
    </w:pPr>
  </w:p>
  <w:tbl>
    <w:tblPr>
      <w:tblW w:w="10853" w:type="dxa"/>
      <w:tblInd w:w="-176" w:type="dxa"/>
      <w:tblLook w:val="04A0" w:firstRow="1" w:lastRow="0" w:firstColumn="1" w:lastColumn="0" w:noHBand="0" w:noVBand="1"/>
    </w:tblPr>
    <w:tblGrid>
      <w:gridCol w:w="1782"/>
      <w:gridCol w:w="5885"/>
      <w:gridCol w:w="1806"/>
      <w:gridCol w:w="1380"/>
    </w:tblGrid>
    <w:tr w:rsidR="00A62571" w:rsidRPr="004F7169" w:rsidTr="00075C3A">
      <w:trPr>
        <w:trHeight w:val="907"/>
      </w:trPr>
      <w:tc>
        <w:tcPr>
          <w:tcW w:w="1787" w:type="dxa"/>
        </w:tcPr>
        <w:p w:rsidR="00A62571" w:rsidRPr="00D14B49" w:rsidRDefault="00A62571" w:rsidP="00075C3A">
          <w:pPr>
            <w:pStyle w:val="Nagwek"/>
            <w:spacing w:after="120"/>
            <w:jc w:val="center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7AA1D4B5" wp14:editId="2D6A119A">
                <wp:simplePos x="0" y="0"/>
                <wp:positionH relativeFrom="column">
                  <wp:posOffset>-314960</wp:posOffset>
                </wp:positionH>
                <wp:positionV relativeFrom="paragraph">
                  <wp:posOffset>-108585</wp:posOffset>
                </wp:positionV>
                <wp:extent cx="1104900" cy="1000125"/>
                <wp:effectExtent l="0" t="0" r="0" b="9525"/>
                <wp:wrapNone/>
                <wp:docPr id="4" name="Obraz 4" descr="Opis: 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96" w:type="dxa"/>
        </w:tcPr>
        <w:p w:rsidR="00A62571" w:rsidRPr="00726243" w:rsidRDefault="00A62571" w:rsidP="00075C3A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5931FF82" wp14:editId="6E2411C3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Opis: 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Opis: 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74.25pt" o:ole="">
                <v:imagedata r:id="rId3" o:title=""/>
              </v:shape>
              <o:OLEObject Type="Embed" ProgID="PBrush" ShapeID="_x0000_i1025" DrawAspect="Content" ObjectID="_1462795891" r:id="rId4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78CA697C" wp14:editId="083DBFCC">
                <wp:extent cx="1028700" cy="1000125"/>
                <wp:effectExtent l="0" t="0" r="0" b="9525"/>
                <wp:docPr id="2" name="Obraz 2" descr="Opis: 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pis: 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7" w:type="dxa"/>
        </w:tcPr>
        <w:p w:rsidR="00A62571" w:rsidRPr="00D14B49" w:rsidRDefault="00A62571" w:rsidP="00075C3A">
          <w:pPr>
            <w:pStyle w:val="Nagwek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3F3B16D" wp14:editId="76EA84E7">
                <wp:extent cx="1000125" cy="1000125"/>
                <wp:effectExtent l="0" t="0" r="9525" b="9525"/>
                <wp:docPr id="1" name="Obraz 1" descr="Opis: 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Opis: 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3" w:type="dxa"/>
        </w:tcPr>
        <w:p w:rsidR="00A62571" w:rsidRPr="00D14B49" w:rsidRDefault="00A62571" w:rsidP="00075C3A">
          <w:pPr>
            <w:pStyle w:val="Nagwek"/>
            <w:rPr>
              <w:rFonts w:ascii="Arial" w:hAnsi="Arial" w:cs="Arial"/>
            </w:rPr>
          </w:pPr>
        </w:p>
      </w:tc>
    </w:tr>
  </w:tbl>
  <w:p w:rsidR="00A62571" w:rsidRDefault="00A62571">
    <w:pPr>
      <w:pStyle w:val="Nagwek"/>
    </w:pPr>
  </w:p>
  <w:p w:rsidR="00A62571" w:rsidRDefault="00A625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B5"/>
    <w:rsid w:val="001B2463"/>
    <w:rsid w:val="00823204"/>
    <w:rsid w:val="00973120"/>
    <w:rsid w:val="009F156F"/>
    <w:rsid w:val="00A62571"/>
    <w:rsid w:val="00B9377D"/>
    <w:rsid w:val="00E02335"/>
    <w:rsid w:val="00E16309"/>
    <w:rsid w:val="00E6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7EB5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571"/>
  </w:style>
  <w:style w:type="paragraph" w:styleId="Stopka">
    <w:name w:val="footer"/>
    <w:basedOn w:val="Normalny"/>
    <w:link w:val="StopkaZnak"/>
    <w:uiPriority w:val="99"/>
    <w:unhideWhenUsed/>
    <w:rsid w:val="00A6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571"/>
  </w:style>
  <w:style w:type="paragraph" w:styleId="Tekstdymka">
    <w:name w:val="Balloon Text"/>
    <w:basedOn w:val="Normalny"/>
    <w:link w:val="TekstdymkaZnak"/>
    <w:uiPriority w:val="99"/>
    <w:semiHidden/>
    <w:unhideWhenUsed/>
    <w:rsid w:val="00A6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7EB5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6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571"/>
  </w:style>
  <w:style w:type="paragraph" w:styleId="Stopka">
    <w:name w:val="footer"/>
    <w:basedOn w:val="Normalny"/>
    <w:link w:val="StopkaZnak"/>
    <w:uiPriority w:val="99"/>
    <w:unhideWhenUsed/>
    <w:rsid w:val="00A6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571"/>
  </w:style>
  <w:style w:type="paragraph" w:styleId="Tekstdymka">
    <w:name w:val="Balloon Text"/>
    <w:basedOn w:val="Normalny"/>
    <w:link w:val="TekstdymkaZnak"/>
    <w:uiPriority w:val="99"/>
    <w:semiHidden/>
    <w:unhideWhenUsed/>
    <w:rsid w:val="00A6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CC73-F477-420F-9E66-72D0A774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Król</dc:creator>
  <cp:lastModifiedBy>Joanna Król</cp:lastModifiedBy>
  <cp:revision>5</cp:revision>
  <dcterms:created xsi:type="dcterms:W3CDTF">2014-05-28T11:11:00Z</dcterms:created>
  <dcterms:modified xsi:type="dcterms:W3CDTF">2014-05-28T13:25:00Z</dcterms:modified>
</cp:coreProperties>
</file>