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06CA9" w14:textId="04165DB4" w:rsidR="00761D45" w:rsidRPr="00B646EB" w:rsidRDefault="00761D45" w:rsidP="001D05CC">
      <w:pPr>
        <w:pStyle w:val="Nagwek1"/>
        <w:spacing w:after="360" w:line="360" w:lineRule="auto"/>
        <w:rPr>
          <w:rFonts w:asciiTheme="minorHAnsi" w:hAnsiTheme="minorHAnsi" w:cstheme="minorHAnsi"/>
          <w:color w:val="000000" w:themeColor="text1"/>
          <w:lang w:val="pl-PL"/>
        </w:rPr>
      </w:pPr>
      <w:r w:rsidRPr="00B646EB">
        <w:rPr>
          <w:rFonts w:asciiTheme="minorHAnsi" w:hAnsiTheme="minorHAnsi" w:cstheme="minorHAnsi"/>
          <w:color w:val="000000" w:themeColor="text1"/>
          <w:lang w:val="pl-PL"/>
        </w:rPr>
        <w:t xml:space="preserve">Załącznik nr 1 do Regulaminu konkursu ofert </w:t>
      </w:r>
      <w:r w:rsidR="00B42E08" w:rsidRPr="00B646EB">
        <w:rPr>
          <w:rFonts w:asciiTheme="minorHAnsi" w:hAnsiTheme="minorHAnsi" w:cstheme="minorHAnsi"/>
          <w:color w:val="000000" w:themeColor="text1"/>
          <w:lang w:val="pl-PL"/>
        </w:rPr>
        <w:t>–</w:t>
      </w:r>
      <w:r w:rsidRPr="00B646EB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B42E08" w:rsidRPr="00B646EB">
        <w:rPr>
          <w:rFonts w:asciiTheme="minorHAnsi" w:hAnsiTheme="minorHAnsi" w:cstheme="minorHAnsi"/>
          <w:color w:val="000000" w:themeColor="text1"/>
          <w:lang w:val="pl-PL"/>
        </w:rPr>
        <w:t>Założenia dla Najemcy</w:t>
      </w:r>
    </w:p>
    <w:p w14:paraId="6A83C61E" w14:textId="48997128" w:rsidR="00761D45" w:rsidRPr="00B646EB" w:rsidRDefault="00B42E08" w:rsidP="001D05CC">
      <w:pPr>
        <w:pStyle w:val="Nagwek2"/>
        <w:spacing w:after="240" w:line="360" w:lineRule="auto"/>
        <w:rPr>
          <w:rFonts w:asciiTheme="minorHAnsi" w:hAnsiTheme="minorHAnsi" w:cstheme="minorHAnsi"/>
          <w:color w:val="000000" w:themeColor="text1"/>
          <w:sz w:val="28"/>
          <w:szCs w:val="28"/>
          <w:lang w:val="pl-PL"/>
        </w:rPr>
      </w:pPr>
      <w:r w:rsidRPr="00B646EB">
        <w:rPr>
          <w:rFonts w:asciiTheme="minorHAnsi" w:hAnsiTheme="minorHAnsi" w:cstheme="minorHAnsi"/>
          <w:color w:val="000000" w:themeColor="text1"/>
          <w:sz w:val="28"/>
          <w:szCs w:val="28"/>
          <w:lang w:val="pl-PL"/>
        </w:rPr>
        <w:t>Warunki lokalowe</w:t>
      </w:r>
    </w:p>
    <w:p w14:paraId="5C544C5B" w14:textId="153C2516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  <w:b/>
          <w:bCs/>
        </w:rPr>
        <w:t>Powierzchnia, usytuowanie w budynku, zaplecze:</w:t>
      </w:r>
    </w:p>
    <w:p w14:paraId="290228A2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Sklep ma powierzchnię 98,77 m2.</w:t>
      </w:r>
    </w:p>
    <w:p w14:paraId="52DDA611" w14:textId="46071885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Sklep znajduje się na poziomie „0” w budynku Muzeum – adres: ul. Anielewicza 6, 00-157</w:t>
      </w:r>
      <w:r w:rsidR="00B646EB">
        <w:rPr>
          <w:rFonts w:asciiTheme="minorHAnsi" w:hAnsiTheme="minorHAnsi" w:cstheme="minorHAnsi"/>
        </w:rPr>
        <w:t xml:space="preserve"> </w:t>
      </w:r>
      <w:r w:rsidRPr="00B42E08">
        <w:rPr>
          <w:rFonts w:asciiTheme="minorHAnsi" w:hAnsiTheme="minorHAnsi" w:cstheme="minorHAnsi"/>
        </w:rPr>
        <w:t>Warszawa. Sklep nie ma odrębnego wejścia bezpośrednio z zewnątrz budynku, do</w:t>
      </w:r>
      <w:r w:rsidR="00B646EB">
        <w:rPr>
          <w:rFonts w:asciiTheme="minorHAnsi" w:hAnsiTheme="minorHAnsi" w:cstheme="minorHAnsi"/>
        </w:rPr>
        <w:t xml:space="preserve"> </w:t>
      </w:r>
      <w:r w:rsidRPr="00B42E08">
        <w:rPr>
          <w:rFonts w:asciiTheme="minorHAnsi" w:hAnsiTheme="minorHAnsi" w:cstheme="minorHAnsi"/>
        </w:rPr>
        <w:t>sklepu można wejść bez konieczności zakupu biletu wstępu do Muzeum.</w:t>
      </w:r>
    </w:p>
    <w:p w14:paraId="6204F44E" w14:textId="07B5A182" w:rsidR="00283E80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eastAsiaTheme="minorHAnsi" w:hAnsiTheme="minorHAnsi" w:cstheme="minorHAnsi"/>
          <w:lang w:bidi="he-IL"/>
        </w:rPr>
      </w:pPr>
      <w:r w:rsidRPr="00B42E08">
        <w:rPr>
          <w:rFonts w:asciiTheme="minorHAnsi" w:hAnsiTheme="minorHAnsi" w:cstheme="minorHAnsi"/>
        </w:rPr>
        <w:t xml:space="preserve">Do sklepu nie przynależy zaplecze ani magazyn. </w:t>
      </w:r>
      <w:r w:rsidR="00E0236A" w:rsidRPr="00B42E08">
        <w:rPr>
          <w:rFonts w:asciiTheme="minorHAnsi" w:hAnsiTheme="minorHAnsi" w:cstheme="minorHAnsi"/>
        </w:rPr>
        <w:t>Muzeum udostępnia pracownik</w:t>
      </w:r>
      <w:r w:rsidR="00283E80" w:rsidRPr="00B42E08">
        <w:rPr>
          <w:rFonts w:asciiTheme="minorHAnsi" w:hAnsiTheme="minorHAnsi" w:cstheme="minorHAnsi"/>
        </w:rPr>
        <w:t>om</w:t>
      </w:r>
      <w:r w:rsidR="00E0236A" w:rsidRPr="00B42E08">
        <w:rPr>
          <w:rFonts w:asciiTheme="minorHAnsi" w:hAnsiTheme="minorHAnsi" w:cstheme="minorHAnsi"/>
        </w:rPr>
        <w:t xml:space="preserve"> sklepu: </w:t>
      </w:r>
      <w:r w:rsidR="00283E80" w:rsidRPr="00B42E08">
        <w:rPr>
          <w:rFonts w:asciiTheme="minorHAnsi" w:hAnsiTheme="minorHAnsi" w:cstheme="minorHAnsi"/>
        </w:rPr>
        <w:t>pomieszczenie socjaln</w:t>
      </w:r>
      <w:r w:rsidR="00E77995" w:rsidRPr="00B42E08">
        <w:rPr>
          <w:rFonts w:asciiTheme="minorHAnsi" w:hAnsiTheme="minorHAnsi" w:cstheme="minorHAnsi"/>
        </w:rPr>
        <w:t xml:space="preserve">e wyposażone w </w:t>
      </w:r>
      <w:r w:rsidR="00283E80" w:rsidRPr="00B42E08">
        <w:rPr>
          <w:rFonts w:asciiTheme="minorHAnsi" w:hAnsiTheme="minorHAnsi" w:cstheme="minorHAnsi"/>
        </w:rPr>
        <w:t>lodówk</w:t>
      </w:r>
      <w:r w:rsidR="00E77995" w:rsidRPr="00B42E08">
        <w:rPr>
          <w:rFonts w:asciiTheme="minorHAnsi" w:hAnsiTheme="minorHAnsi" w:cstheme="minorHAnsi"/>
        </w:rPr>
        <w:t>ę</w:t>
      </w:r>
      <w:r w:rsidR="00283E80" w:rsidRPr="00B42E08">
        <w:rPr>
          <w:rFonts w:asciiTheme="minorHAnsi" w:hAnsiTheme="minorHAnsi" w:cstheme="minorHAnsi"/>
        </w:rPr>
        <w:t>, kuchenk</w:t>
      </w:r>
      <w:r w:rsidR="00E77995" w:rsidRPr="00B42E08">
        <w:rPr>
          <w:rFonts w:asciiTheme="minorHAnsi" w:hAnsiTheme="minorHAnsi" w:cstheme="minorHAnsi"/>
        </w:rPr>
        <w:t>ę</w:t>
      </w:r>
      <w:r w:rsidR="00283E80" w:rsidRPr="00B42E08">
        <w:rPr>
          <w:rFonts w:asciiTheme="minorHAnsi" w:hAnsiTheme="minorHAnsi" w:cstheme="minorHAnsi"/>
        </w:rPr>
        <w:t xml:space="preserve"> mikrofalow</w:t>
      </w:r>
      <w:r w:rsidR="00E77995" w:rsidRPr="00B42E08">
        <w:rPr>
          <w:rFonts w:asciiTheme="minorHAnsi" w:hAnsiTheme="minorHAnsi" w:cstheme="minorHAnsi"/>
        </w:rPr>
        <w:t>ą</w:t>
      </w:r>
      <w:r w:rsidR="00283E80" w:rsidRPr="00B42E08">
        <w:rPr>
          <w:rFonts w:asciiTheme="minorHAnsi" w:hAnsiTheme="minorHAnsi" w:cstheme="minorHAnsi"/>
        </w:rPr>
        <w:t>, jadalni</w:t>
      </w:r>
      <w:r w:rsidR="00E77995" w:rsidRPr="00B42E08">
        <w:rPr>
          <w:rFonts w:asciiTheme="minorHAnsi" w:hAnsiTheme="minorHAnsi" w:cstheme="minorHAnsi"/>
        </w:rPr>
        <w:t>ę</w:t>
      </w:r>
      <w:r w:rsidR="00283E80" w:rsidRPr="00B42E08">
        <w:rPr>
          <w:rFonts w:asciiTheme="minorHAnsi" w:hAnsiTheme="minorHAnsi" w:cstheme="minorHAnsi"/>
        </w:rPr>
        <w:t>, szafki na drobne produkty spożywcze, kubki, talerze, sztućce</w:t>
      </w:r>
      <w:r w:rsidR="00E77995" w:rsidRPr="00B42E08">
        <w:rPr>
          <w:rFonts w:asciiTheme="minorHAnsi" w:hAnsiTheme="minorHAnsi" w:cstheme="minorHAnsi"/>
        </w:rPr>
        <w:t xml:space="preserve"> oraz </w:t>
      </w:r>
      <w:r w:rsidR="00D44F9E" w:rsidRPr="00B42E08">
        <w:rPr>
          <w:rFonts w:asciiTheme="minorHAnsi" w:hAnsiTheme="minorHAnsi" w:cstheme="minorHAnsi"/>
        </w:rPr>
        <w:t>2-4 szafki w szatni pracowniczej</w:t>
      </w:r>
      <w:r w:rsidR="0057604F" w:rsidRPr="00B42E08">
        <w:rPr>
          <w:rFonts w:asciiTheme="minorHAnsi" w:hAnsiTheme="minorHAnsi" w:cstheme="minorHAnsi"/>
        </w:rPr>
        <w:t>.</w:t>
      </w:r>
    </w:p>
    <w:p w14:paraId="48D732AC" w14:textId="7606386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Najemca ma możliwość nadania własnej nazwy sklepu muzealnego z zastrzeżeniem, że</w:t>
      </w:r>
      <w:r w:rsidR="00B646EB">
        <w:rPr>
          <w:rFonts w:asciiTheme="minorHAnsi" w:hAnsiTheme="minorHAnsi" w:cstheme="minorHAnsi"/>
        </w:rPr>
        <w:t xml:space="preserve"> </w:t>
      </w:r>
      <w:r w:rsidRPr="00B42E08">
        <w:rPr>
          <w:rFonts w:asciiTheme="minorHAnsi" w:hAnsiTheme="minorHAnsi" w:cstheme="minorHAnsi"/>
        </w:rPr>
        <w:t>będzie miała związek z charakterem i tematyką Muzeum oraz za jego zgodą.</w:t>
      </w:r>
    </w:p>
    <w:p w14:paraId="02BFD7F7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Projekt nazwy i logo sklepu musi być spójny ze stylistyką Muzeum i wymaga zgody Muzeum.</w:t>
      </w:r>
    </w:p>
    <w:p w14:paraId="14CCCC4A" w14:textId="7F804FAF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Budynek Muzeum ma 16 005,51 m2 powierzchni użytkowej, w tym jedną trzecią zajmuje wystawa stała, pozostałą część zajmuje wystawa czasowa, wielofunkcyjne audytorium, sale projekcyjne, sale warsztatowe Centrum Edukacyjnego, specjalna przestrzeń dla dzieci (Miejsce Edukacji Rodzinnej), restauracja oraz pomieszczenia biurowe.</w:t>
      </w:r>
    </w:p>
    <w:p w14:paraId="0FC5F726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 xml:space="preserve">Szacowana liczba pracowników, współpracowników i osób odwiedzających Muzeum: </w:t>
      </w:r>
    </w:p>
    <w:p w14:paraId="38A72321" w14:textId="75C28B5B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Pracownicy etatowi muzeum to 190 osób (dane za styczeń 2023) i </w:t>
      </w:r>
      <w:r w:rsidR="0074103B" w:rsidRPr="00B42E08">
        <w:rPr>
          <w:rFonts w:asciiTheme="minorHAnsi" w:hAnsiTheme="minorHAnsi" w:cstheme="minorHAnsi"/>
        </w:rPr>
        <w:t>150</w:t>
      </w:r>
      <w:r w:rsidRPr="00B42E08">
        <w:rPr>
          <w:rFonts w:asciiTheme="minorHAnsi" w:hAnsiTheme="minorHAnsi" w:cstheme="minorHAnsi"/>
        </w:rPr>
        <w:t xml:space="preserve"> współpracowni</w:t>
      </w:r>
      <w:r w:rsidR="0074103B" w:rsidRPr="00B42E08">
        <w:rPr>
          <w:rFonts w:asciiTheme="minorHAnsi" w:hAnsiTheme="minorHAnsi" w:cstheme="minorHAnsi"/>
        </w:rPr>
        <w:t>ków</w:t>
      </w:r>
      <w:r w:rsidRPr="00B42E08">
        <w:rPr>
          <w:rFonts w:asciiTheme="minorHAnsi" w:hAnsiTheme="minorHAnsi" w:cstheme="minorHAnsi"/>
        </w:rPr>
        <w:t xml:space="preserve"> Muzeum.</w:t>
      </w:r>
    </w:p>
    <w:p w14:paraId="7EFB76E9" w14:textId="035B2FD9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W 2022 roku Muzeum odwiedziło ok.</w:t>
      </w:r>
      <w:r w:rsidR="001A0C14" w:rsidRPr="00B42E08">
        <w:rPr>
          <w:rFonts w:asciiTheme="minorHAnsi" w:hAnsiTheme="minorHAnsi" w:cstheme="minorHAnsi"/>
        </w:rPr>
        <w:t xml:space="preserve"> 270 000</w:t>
      </w:r>
      <w:r w:rsidRPr="00B42E08">
        <w:rPr>
          <w:rFonts w:asciiTheme="minorHAnsi" w:hAnsiTheme="minorHAnsi" w:cstheme="minorHAnsi"/>
        </w:rPr>
        <w:t xml:space="preserve"> osób. </w:t>
      </w:r>
    </w:p>
    <w:p w14:paraId="100DC541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lastRenderedPageBreak/>
        <w:t xml:space="preserve">Wymagane podstawowe funkcje sklepu: </w:t>
      </w:r>
    </w:p>
    <w:p w14:paraId="7B5504C8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Przestrzeganie wartości promowanych w Muzeum. </w:t>
      </w:r>
    </w:p>
    <w:p w14:paraId="07A57960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Sprzedaż stacjonarna produktów, które stanowić będą poszerzenie i uzupełnienie oferty programowej Muzeum dla dzieci, młodzieży i dorosłych. </w:t>
      </w:r>
    </w:p>
    <w:p w14:paraId="722E1025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Sprzedaż internetowa poprzez stronę internetową Oferenta. Możliwe umieszczenie w dedykowanej zakładce na stronie Muzeum opisu i odnośnika do sklepu. </w:t>
      </w:r>
    </w:p>
    <w:p w14:paraId="6C2E4517" w14:textId="34922785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 własny koszt przygotowanie projektów, produkcja i sprzedaż produktów towarzyszących wystawom (stałej i czasowym) oznaczonych logo Muzeum lub innych materiałów promocyjnych z logo </w:t>
      </w:r>
      <w:r w:rsidR="001A0C14" w:rsidRPr="00B42E08">
        <w:rPr>
          <w:rFonts w:asciiTheme="minorHAnsi" w:hAnsiTheme="minorHAnsi" w:cstheme="minorHAnsi"/>
        </w:rPr>
        <w:t xml:space="preserve">lub logotypem </w:t>
      </w:r>
      <w:r w:rsidRPr="00B42E08">
        <w:rPr>
          <w:rFonts w:asciiTheme="minorHAnsi" w:hAnsiTheme="minorHAnsi" w:cstheme="minorHAnsi"/>
        </w:rPr>
        <w:t>Muzeum.</w:t>
      </w:r>
    </w:p>
    <w:p w14:paraId="461D61B1" w14:textId="3E15DEBE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Dystrybucja płatnych publikacji muzealnych w księgarniach i sieciach księgarskich poza sklepem Najemcy – Najemca może dystrybuować publikacje wydawane przez muzeum do innych księgarń i sieci księgarskich. Każda publikacja przeznaczona do dystrybucji musi otrzymać akcept muzeum.</w:t>
      </w:r>
    </w:p>
    <w:p w14:paraId="70399126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Zaangażowanie w realizację znanych z wyprzedzeniem wydarzeń takich jak Dzień Dziecka, Noc Muzeów, wystawy czasowe, wernisaże, promocje książek w ramach „Czytelni POLIN” itp. Zaangażowanie polega na wydłużeniu działania sklepu do godziny, w której kończy się wydarzenie. </w:t>
      </w:r>
    </w:p>
    <w:p w14:paraId="6B825471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 xml:space="preserve">Warunki najmu: </w:t>
      </w:r>
    </w:p>
    <w:p w14:paraId="01EE53CA" w14:textId="0DAFBCBF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Okres najmu: </w:t>
      </w:r>
      <w:r w:rsidR="00302BDB" w:rsidRPr="00B42E08">
        <w:rPr>
          <w:rFonts w:asciiTheme="minorHAnsi" w:hAnsiTheme="minorHAnsi" w:cstheme="minorHAnsi"/>
        </w:rPr>
        <w:t>31</w:t>
      </w:r>
      <w:r w:rsidRPr="00B42E08">
        <w:rPr>
          <w:rFonts w:asciiTheme="minorHAnsi" w:hAnsiTheme="minorHAnsi" w:cstheme="minorHAnsi"/>
        </w:rPr>
        <w:t xml:space="preserve"> miesięcy.</w:t>
      </w:r>
    </w:p>
    <w:p w14:paraId="2F110CAE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Miesięczny czynsz: stawka zaproponowana przez Oferenta w ramach Konkursu. </w:t>
      </w:r>
    </w:p>
    <w:p w14:paraId="3C202DB4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Miesięczna prowizja z tytułu uzyskanych obrotów: w wysokości zaproponowanej przez Oferenta w ramach Konkursu.</w:t>
      </w:r>
    </w:p>
    <w:p w14:paraId="39862F9A" w14:textId="478EE314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Opłata licencyjna w wysokości 10% od wartości ceny netto produktów oznakowanych logo </w:t>
      </w:r>
      <w:r w:rsidR="00384903" w:rsidRPr="00B42E08">
        <w:rPr>
          <w:rFonts w:asciiTheme="minorHAnsi" w:hAnsiTheme="minorHAnsi" w:cstheme="minorHAnsi"/>
        </w:rPr>
        <w:t xml:space="preserve">i logotypem </w:t>
      </w:r>
      <w:r w:rsidRPr="00B42E08">
        <w:rPr>
          <w:rFonts w:asciiTheme="minorHAnsi" w:hAnsiTheme="minorHAnsi" w:cstheme="minorHAnsi"/>
        </w:rPr>
        <w:t>Muzeum na podstawie miesięcznego zestawienia sprzedaży.</w:t>
      </w:r>
    </w:p>
    <w:p w14:paraId="6BDCFF49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Honorowanie ustalonych zniżek dla pracowników i współpracowników w wysokości 15% oraz Kart Klubu Przyjaciół Muzeum: 15%, karta </w:t>
      </w:r>
      <w:proofErr w:type="spellStart"/>
      <w:r w:rsidRPr="00B42E08">
        <w:rPr>
          <w:rFonts w:asciiTheme="minorHAnsi" w:hAnsiTheme="minorHAnsi" w:cstheme="minorHAnsi"/>
        </w:rPr>
        <w:t>Alef</w:t>
      </w:r>
      <w:proofErr w:type="spellEnd"/>
      <w:r w:rsidRPr="00B42E08">
        <w:rPr>
          <w:rFonts w:asciiTheme="minorHAnsi" w:hAnsiTheme="minorHAnsi" w:cstheme="minorHAnsi"/>
        </w:rPr>
        <w:t xml:space="preserve"> oraz </w:t>
      </w:r>
      <w:proofErr w:type="spellStart"/>
      <w:r w:rsidRPr="00B42E08">
        <w:rPr>
          <w:rFonts w:asciiTheme="minorHAnsi" w:hAnsiTheme="minorHAnsi" w:cstheme="minorHAnsi"/>
        </w:rPr>
        <w:t>Taw</w:t>
      </w:r>
      <w:proofErr w:type="spellEnd"/>
      <w:r w:rsidRPr="00B42E08">
        <w:rPr>
          <w:rFonts w:asciiTheme="minorHAnsi" w:hAnsiTheme="minorHAnsi" w:cstheme="minorHAnsi"/>
        </w:rPr>
        <w:t xml:space="preserve">, 10%, karta Bet, 5% karta </w:t>
      </w:r>
      <w:proofErr w:type="spellStart"/>
      <w:r w:rsidRPr="00B42E08">
        <w:rPr>
          <w:rFonts w:asciiTheme="minorHAnsi" w:hAnsiTheme="minorHAnsi" w:cstheme="minorHAnsi"/>
        </w:rPr>
        <w:t>Gimel</w:t>
      </w:r>
      <w:proofErr w:type="spellEnd"/>
      <w:r w:rsidRPr="00B42E08">
        <w:rPr>
          <w:rFonts w:asciiTheme="minorHAnsi" w:hAnsiTheme="minorHAnsi" w:cstheme="minorHAnsi"/>
        </w:rPr>
        <w:t>.</w:t>
      </w:r>
    </w:p>
    <w:p w14:paraId="183A7348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lastRenderedPageBreak/>
        <w:t xml:space="preserve">Wszystkie inne, niezbędne informacje zawiera wzór umowy, stanowiący załącznik nr 5 do Regulaminu Konkursu. </w:t>
      </w:r>
    </w:p>
    <w:p w14:paraId="15654A08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Sprzedaż stacjonarna i internetowa wydawnictw Muzeum na warunkach regulowanych  Istotnymi Postawieniami Umowy. </w:t>
      </w:r>
    </w:p>
    <w:p w14:paraId="69D5C336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 xml:space="preserve">Godziny otwarcia: </w:t>
      </w:r>
    </w:p>
    <w:p w14:paraId="48AED232" w14:textId="77777777" w:rsidR="00761D45" w:rsidRPr="00B42E08" w:rsidRDefault="00761D45" w:rsidP="001D05CC">
      <w:pPr>
        <w:pStyle w:val="Default"/>
        <w:spacing w:line="360" w:lineRule="auto"/>
        <w:ind w:left="420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Sklep będzie otwarty w godzinach działania Muzeum, bez wyjątków. Na prośbę Muzeum sklep będzie umożliwiał sprzedaż w innych godzinach, obsługując wydarzenia promocyjne lub programowe odbywające się poza godzinami otwarcia Muzeum (np. promocje książek, wernisaże itp.). </w:t>
      </w:r>
    </w:p>
    <w:p w14:paraId="75C2B15C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 xml:space="preserve">Rozpoczęcie działalności: </w:t>
      </w:r>
    </w:p>
    <w:p w14:paraId="491B1786" w14:textId="77777777" w:rsidR="00761D45" w:rsidRPr="00B42E08" w:rsidRDefault="00761D45" w:rsidP="001D05CC">
      <w:pPr>
        <w:pStyle w:val="Default"/>
        <w:spacing w:line="360" w:lineRule="auto"/>
        <w:ind w:left="420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Działalność stacjonarną należy rozpocząć w terminie ustalonym w porozumieniu i za zgodą Muzeum. </w:t>
      </w:r>
    </w:p>
    <w:p w14:paraId="2F624852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 xml:space="preserve">Pracownicy sklepu muzealnego: </w:t>
      </w:r>
    </w:p>
    <w:p w14:paraId="687D470E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musi zapewnić odpowiednią liczbę pracowników, aby umożliwić nieprzerwane funkcjonowanie sklepu w godzinach otwarcia Muzeum dla zwiedzających. </w:t>
      </w:r>
    </w:p>
    <w:p w14:paraId="291BD90D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zadba o odpowiedni i estetyczny strój dla pracowników sklepu. Muzeum zastrzega sobie prawo ingerowania w dobór stroju. </w:t>
      </w:r>
    </w:p>
    <w:p w14:paraId="2C628FF4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Wymagania stawiane pracownikom sklepu: </w:t>
      </w:r>
    </w:p>
    <w:p w14:paraId="5C396160" w14:textId="77777777" w:rsidR="00761D45" w:rsidRPr="00B42E08" w:rsidRDefault="00761D45" w:rsidP="001D05CC">
      <w:pPr>
        <w:pStyle w:val="Default"/>
        <w:numPr>
          <w:ilvl w:val="2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znajomość języka angielskiego w stopniu minimum komunikatywnym, </w:t>
      </w:r>
    </w:p>
    <w:p w14:paraId="205982A2" w14:textId="77777777" w:rsidR="00761D45" w:rsidRPr="00B42E08" w:rsidRDefault="00761D45" w:rsidP="001D05CC">
      <w:pPr>
        <w:pStyle w:val="Default"/>
        <w:numPr>
          <w:ilvl w:val="2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przynajmniej podstawowa znajomość kultury i historii Żydów w Polsce,</w:t>
      </w:r>
    </w:p>
    <w:p w14:paraId="24F543C4" w14:textId="77777777" w:rsidR="00761D45" w:rsidRPr="00B42E08" w:rsidRDefault="00761D45" w:rsidP="001D05CC">
      <w:pPr>
        <w:pStyle w:val="Default"/>
        <w:numPr>
          <w:ilvl w:val="2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bardzo dobra znajomość oferty sklepu, </w:t>
      </w:r>
    </w:p>
    <w:p w14:paraId="7035718B" w14:textId="77777777" w:rsidR="00761D45" w:rsidRPr="00B42E08" w:rsidRDefault="00761D45" w:rsidP="001D05CC">
      <w:pPr>
        <w:pStyle w:val="Default"/>
        <w:numPr>
          <w:ilvl w:val="2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wysoka kultura osobista, </w:t>
      </w:r>
    </w:p>
    <w:p w14:paraId="587D6B16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Muzeum zastrzega sobie prawo zgłaszania uwag co do jakości obsługi klientów, a Najemca niezwłocznie jest zobowiązany do zastosowania się do uwag Muzeum. </w:t>
      </w:r>
    </w:p>
    <w:p w14:paraId="5E820128" w14:textId="77777777" w:rsidR="00761D45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Muzeum zastrzega, że na prośby, uwagi i reklamacje klientów sklep powinien odpowiadać nie później niż w ciągu 48 godzin od zgłoszenia. </w:t>
      </w:r>
    </w:p>
    <w:p w14:paraId="4E60685D" w14:textId="77777777" w:rsidR="001D05CC" w:rsidRPr="00B42E08" w:rsidRDefault="001D05CC" w:rsidP="001D05CC">
      <w:pPr>
        <w:pStyle w:val="Default"/>
        <w:spacing w:line="360" w:lineRule="auto"/>
        <w:ind w:left="1140"/>
        <w:rPr>
          <w:rFonts w:asciiTheme="minorHAnsi" w:hAnsiTheme="minorHAnsi" w:cstheme="minorHAnsi"/>
        </w:rPr>
      </w:pPr>
    </w:p>
    <w:p w14:paraId="3C735763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lastRenderedPageBreak/>
        <w:t xml:space="preserve">Wyposażenie/wystrój: </w:t>
      </w:r>
    </w:p>
    <w:p w14:paraId="2FEC5479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Wyposażenie meblowe sklepu jest własnością Muzeum.</w:t>
      </w:r>
    </w:p>
    <w:p w14:paraId="187161D4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zobowiązany jest do zachowania charakteru pomieszczenia oraz najmu mebli znajdujących się w sklepie muzealnym. </w:t>
      </w:r>
    </w:p>
    <w:p w14:paraId="50C2BA83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Wszelkie zmiany aranżacji powinny być konsultowane z przedstawicielem Muzeum. Na zmiany aranżacji wymagana jest pisemna zgoda przedstawiciela Muzeum. </w:t>
      </w:r>
    </w:p>
    <w:p w14:paraId="597A0BC7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zobowiązany jest do dbania o czystość pomieszczenia, systematyczną konserwację i dbałość o wyposażenie, szyby witrynowe, podłogę. Zobowiązany jest również do drobnych napraw oraz bieżącego zgłaszania większych usterek. </w:t>
      </w:r>
    </w:p>
    <w:p w14:paraId="3A22C97B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 xml:space="preserve">Dostarczanie towaru do sklepu oraz wywóz śmieci: </w:t>
      </w:r>
    </w:p>
    <w:p w14:paraId="639834A5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Dostawa towaru oraz usuwanie śmieci musi odbyć się poza godzinami otwarcia Muzeum. </w:t>
      </w:r>
    </w:p>
    <w:p w14:paraId="61288A49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będzie zobowiązany do segregowania śmieci. </w:t>
      </w:r>
    </w:p>
    <w:p w14:paraId="6B4E0562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Najemca może korzystać z pomieszczenia na śmieci segregowane udostępnionego przez Muzeum na poziomie -1, o ile będzie przestrzegał segregacji i dbał o czystość oraz przestrzeganie wewnętrznych regulacji muzealnych.</w:t>
      </w:r>
    </w:p>
    <w:p w14:paraId="2B316BE7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 xml:space="preserve">Bezpieczeństwo: </w:t>
      </w:r>
    </w:p>
    <w:p w14:paraId="22053498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 Muzeum jest całodobowa ochrona i monitoring całego budynku. Nie będzie możliwości wprowadzenia przez Najemcę innej, dodatkowej firmy ochroniarskiej. Instalacja jakichkolwiek urządzeń służących do monitorowania lokalu i jego otoczenia wymaga uprzedniej pisemnej zgody Muzeum. </w:t>
      </w:r>
    </w:p>
    <w:p w14:paraId="3CBF5D1F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jest zobowiązany do całkowitego dostosowania się do wymogów bezpieczeństwa obowiązujących w Muzeum, o których zostanie poinformowany przed rozpoczęciem działalności oraz będzie na bieżąco informowany o zmianach. </w:t>
      </w:r>
    </w:p>
    <w:p w14:paraId="1464470E" w14:textId="77777777" w:rsidR="00761D45" w:rsidRPr="00B42E08" w:rsidRDefault="00761D45" w:rsidP="001D05CC">
      <w:pPr>
        <w:pStyle w:val="Default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>Dodatkowe:</w:t>
      </w:r>
    </w:p>
    <w:p w14:paraId="6606A0ED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Zaprojektowana moc zainstalowana i przydzielona do sklepu wynosi 5,9 </w:t>
      </w:r>
      <w:proofErr w:type="spellStart"/>
      <w:r w:rsidRPr="00B42E08">
        <w:rPr>
          <w:rFonts w:asciiTheme="minorHAnsi" w:hAnsiTheme="minorHAnsi" w:cstheme="minorHAnsi"/>
        </w:rPr>
        <w:t>kW.</w:t>
      </w:r>
      <w:proofErr w:type="spellEnd"/>
      <w:r w:rsidRPr="00B42E08">
        <w:rPr>
          <w:rFonts w:asciiTheme="minorHAnsi" w:hAnsiTheme="minorHAnsi" w:cstheme="minorHAnsi"/>
        </w:rPr>
        <w:t xml:space="preserve"> Nie ma możliwości zwiększenia przydzielonej mocy. </w:t>
      </w:r>
    </w:p>
    <w:p w14:paraId="275890D2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lastRenderedPageBreak/>
        <w:t xml:space="preserve">Łącze internetowe na własny użytek niezbędny do prowadzenia działalności zapewnia Najemca we własnym zakresie i ponosi związane z tym opłaty na podstawie odrębnej umowy z operatorem. </w:t>
      </w:r>
    </w:p>
    <w:p w14:paraId="0BB89146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Najemca przedstawi Muzeum do akceptacji wybór operatora i uzgodni rozwiązania teleinformatyczne, aby nie kolidowały z istniejącą infrastrukturą.</w:t>
      </w:r>
    </w:p>
    <w:p w14:paraId="42A9DAC2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Koszt energii elektrycznej i klimatyzacji zawarty jest w czynszu miesięcznym. </w:t>
      </w:r>
    </w:p>
    <w:p w14:paraId="093A2463" w14:textId="77777777" w:rsidR="00761D45" w:rsidRPr="00B42E08" w:rsidRDefault="00761D45" w:rsidP="001D05CC">
      <w:pPr>
        <w:pStyle w:val="Default"/>
        <w:numPr>
          <w:ilvl w:val="1"/>
          <w:numId w:val="23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Przy Muzeum nie będzie możliwości przyznania Najemcy lub jego pracownikom stałego miejsca parkingowego. </w:t>
      </w:r>
    </w:p>
    <w:p w14:paraId="1692B0A0" w14:textId="77777777" w:rsidR="00761D45" w:rsidRPr="00B42E08" w:rsidRDefault="00761D45" w:rsidP="001D05CC">
      <w:pPr>
        <w:spacing w:line="360" w:lineRule="auto"/>
        <w:rPr>
          <w:rFonts w:asciiTheme="minorHAnsi" w:eastAsiaTheme="minorEastAsia" w:hAnsiTheme="minorHAnsi" w:cstheme="minorHAnsi"/>
          <w:color w:val="000000"/>
          <w:sz w:val="24"/>
          <w:szCs w:val="24"/>
          <w:lang w:val="pl-PL"/>
        </w:rPr>
      </w:pPr>
      <w:r w:rsidRPr="00B42E08">
        <w:rPr>
          <w:rFonts w:asciiTheme="minorHAnsi" w:hAnsiTheme="minorHAnsi" w:cstheme="minorHAnsi"/>
          <w:sz w:val="24"/>
          <w:szCs w:val="24"/>
        </w:rPr>
        <w:br w:type="page"/>
      </w:r>
    </w:p>
    <w:p w14:paraId="148EA89E" w14:textId="506A3201" w:rsidR="00761D45" w:rsidRPr="00B646EB" w:rsidRDefault="00761D45" w:rsidP="001D05CC">
      <w:pPr>
        <w:pStyle w:val="Nagwek2"/>
        <w:rPr>
          <w:b/>
          <w:bCs/>
          <w:color w:val="000000" w:themeColor="text1"/>
          <w:sz w:val="28"/>
          <w:szCs w:val="28"/>
          <w:lang w:val="pl-PL"/>
        </w:rPr>
      </w:pPr>
      <w:r w:rsidRPr="00B646EB">
        <w:rPr>
          <w:b/>
          <w:bCs/>
          <w:color w:val="000000" w:themeColor="text1"/>
          <w:sz w:val="28"/>
          <w:szCs w:val="28"/>
        </w:rPr>
        <w:lastRenderedPageBreak/>
        <w:t>Z</w:t>
      </w:r>
      <w:proofErr w:type="spellStart"/>
      <w:r w:rsidR="00876FEF" w:rsidRPr="00B646EB">
        <w:rPr>
          <w:b/>
          <w:bCs/>
          <w:color w:val="000000" w:themeColor="text1"/>
          <w:sz w:val="28"/>
          <w:szCs w:val="28"/>
          <w:lang w:val="pl-PL"/>
        </w:rPr>
        <w:t>ałożenia</w:t>
      </w:r>
      <w:proofErr w:type="spellEnd"/>
      <w:r w:rsidR="00876FEF" w:rsidRPr="00B646EB">
        <w:rPr>
          <w:b/>
          <w:bCs/>
          <w:color w:val="000000" w:themeColor="text1"/>
          <w:sz w:val="28"/>
          <w:szCs w:val="28"/>
          <w:lang w:val="pl-PL"/>
        </w:rPr>
        <w:t xml:space="preserve"> dla Najemcy – Wytyczne merytoryczne</w:t>
      </w:r>
    </w:p>
    <w:p w14:paraId="2E7DCAB7" w14:textId="77777777" w:rsidR="00761D45" w:rsidRPr="00B42E08" w:rsidRDefault="00761D45" w:rsidP="00C01182">
      <w:pPr>
        <w:pStyle w:val="Default"/>
        <w:spacing w:before="360" w:line="360" w:lineRule="auto"/>
        <w:rPr>
          <w:rFonts w:asciiTheme="minorHAnsi" w:eastAsia="Arial" w:hAnsiTheme="minorHAnsi" w:cstheme="minorHAnsi"/>
          <w:b/>
          <w:color w:val="auto"/>
        </w:rPr>
      </w:pPr>
      <w:r w:rsidRPr="00B42E08">
        <w:rPr>
          <w:rFonts w:asciiTheme="minorHAnsi" w:eastAsia="Arial" w:hAnsiTheme="minorHAnsi" w:cstheme="minorHAnsi"/>
          <w:b/>
          <w:color w:val="auto"/>
        </w:rPr>
        <w:t xml:space="preserve">Misja i wizja </w:t>
      </w:r>
    </w:p>
    <w:p w14:paraId="2AD6AD6B" w14:textId="77777777" w:rsidR="00761D45" w:rsidRPr="00B42E08" w:rsidRDefault="00761D45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Przywracać i chronić pamięć historii Żydów polskich, przyczyniając się do wzajemnego zrozumienia i szacunku wśród Polaków i Żydów, społeczeństw Europy i świata. Tworzyć nowoczesne muzeum, centrum edukacji i kultury, platformę dialogu społecznego - instytucję oferującą głębokie doświadczenie i promującą nowe standardy obcowania z historią.</w:t>
      </w:r>
    </w:p>
    <w:p w14:paraId="6C855FD2" w14:textId="77777777" w:rsidR="00761D45" w:rsidRPr="00B42E08" w:rsidRDefault="00761D45" w:rsidP="00C01182">
      <w:pPr>
        <w:pStyle w:val="Default"/>
        <w:spacing w:before="240" w:line="360" w:lineRule="auto"/>
        <w:rPr>
          <w:rFonts w:asciiTheme="minorHAnsi" w:eastAsia="Arial" w:hAnsiTheme="minorHAnsi" w:cstheme="minorHAnsi"/>
          <w:b/>
          <w:color w:val="auto"/>
        </w:rPr>
      </w:pPr>
      <w:r w:rsidRPr="00B42E08">
        <w:rPr>
          <w:rFonts w:asciiTheme="minorHAnsi" w:eastAsia="Arial" w:hAnsiTheme="minorHAnsi" w:cstheme="minorHAnsi"/>
          <w:b/>
          <w:color w:val="auto"/>
        </w:rPr>
        <w:t xml:space="preserve">Historyczny i społeczny kontekst </w:t>
      </w:r>
    </w:p>
    <w:p w14:paraId="53B9E2FD" w14:textId="77777777" w:rsidR="00761D45" w:rsidRPr="00B42E08" w:rsidRDefault="00761D45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Polska była kiedyś centrum żydowskiej diaspory, miejscem życia największej społeczności żydowskiej na świecie. Muzeum Historii Żydów Polskich POLIN jest pierwszym i jedynym muzeum na świecie poświęconym w całości tysiącletniej historii Żydów polskich.</w:t>
      </w:r>
    </w:p>
    <w:p w14:paraId="1D45ECBD" w14:textId="4AF0EE84" w:rsidR="00761D45" w:rsidRPr="00B42E08" w:rsidRDefault="00761D45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Inspirację dla stworzenia Muzeum Historii Żydów Polskich stanowiło otwarte w 1993 roku Muzeum Holokaustu w Waszyngtonie. Właśnie w tym </w:t>
      </w:r>
      <w:r w:rsidR="004B7FA9" w:rsidRPr="00B42E08">
        <w:rPr>
          <w:rFonts w:asciiTheme="minorHAnsi" w:eastAsia="Arial" w:hAnsiTheme="minorHAnsi" w:cstheme="minorHAnsi"/>
          <w:color w:val="auto"/>
        </w:rPr>
        <w:t xml:space="preserve">roku </w:t>
      </w:r>
      <w:r w:rsidRPr="00B42E08">
        <w:rPr>
          <w:rFonts w:asciiTheme="minorHAnsi" w:eastAsia="Arial" w:hAnsiTheme="minorHAnsi" w:cstheme="minorHAnsi"/>
          <w:color w:val="auto"/>
        </w:rPr>
        <w:t xml:space="preserve">powołano Międzynarodowy Honorowy Komitet upowszechniający ideę projektu muzeum. Komitetowi przewodniczyli Chaim Herzog, były prezydent Izraela, oraz Ronald S. </w:t>
      </w:r>
      <w:proofErr w:type="spellStart"/>
      <w:r w:rsidRPr="00B42E08">
        <w:rPr>
          <w:rFonts w:asciiTheme="minorHAnsi" w:eastAsia="Arial" w:hAnsiTheme="minorHAnsi" w:cstheme="minorHAnsi"/>
          <w:color w:val="auto"/>
        </w:rPr>
        <w:t>Lauder</w:t>
      </w:r>
      <w:proofErr w:type="spellEnd"/>
      <w:r w:rsidRPr="00B42E08">
        <w:rPr>
          <w:rFonts w:asciiTheme="minorHAnsi" w:eastAsia="Arial" w:hAnsiTheme="minorHAnsi" w:cstheme="minorHAnsi"/>
          <w:color w:val="auto"/>
        </w:rPr>
        <w:t>, biznesmen i filantrop, prezes Fundacji Laudera. W skład komitetu w kolejnych latach weszli przywódcy światowych organizacji żydowskich i politycy, m.in. Jan Nowak-Jeziorański, Jan Karski, Zbigniew Brzeziński.</w:t>
      </w:r>
    </w:p>
    <w:p w14:paraId="1E97C68F" w14:textId="77777777" w:rsidR="00761D45" w:rsidRPr="00B42E08" w:rsidRDefault="00761D45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Budynek muzeum projektu Rainera </w:t>
      </w:r>
      <w:proofErr w:type="spellStart"/>
      <w:r w:rsidRPr="00B42E08">
        <w:rPr>
          <w:rFonts w:asciiTheme="minorHAnsi" w:eastAsia="Arial" w:hAnsiTheme="minorHAnsi" w:cstheme="minorHAnsi"/>
          <w:color w:val="auto"/>
        </w:rPr>
        <w:t>Mahlamäkiego</w:t>
      </w:r>
      <w:proofErr w:type="spellEnd"/>
      <w:r w:rsidRPr="00B42E08">
        <w:rPr>
          <w:rFonts w:asciiTheme="minorHAnsi" w:eastAsia="Arial" w:hAnsiTheme="minorHAnsi" w:cstheme="minorHAnsi"/>
          <w:color w:val="auto"/>
        </w:rPr>
        <w:t xml:space="preserve"> powstał w symbolicznym miejscu: w sercu dawnej tętniącej życiem dzielnicy zamieszkałej przez Żydów, w czasie wojny przekształconej przez Niemców w getto. Od 1948 roku wznosi się tu pomnik Bohaterów Getta autorstwa Natana </w:t>
      </w:r>
      <w:proofErr w:type="spellStart"/>
      <w:r w:rsidRPr="00B42E08">
        <w:rPr>
          <w:rFonts w:asciiTheme="minorHAnsi" w:eastAsia="Arial" w:hAnsiTheme="minorHAnsi" w:cstheme="minorHAnsi"/>
          <w:color w:val="auto"/>
        </w:rPr>
        <w:t>Rapaporta</w:t>
      </w:r>
      <w:proofErr w:type="spellEnd"/>
      <w:r w:rsidRPr="00B42E08">
        <w:rPr>
          <w:rFonts w:asciiTheme="minorHAnsi" w:eastAsia="Arial" w:hAnsiTheme="minorHAnsi" w:cstheme="minorHAnsi"/>
          <w:color w:val="auto"/>
        </w:rPr>
        <w:t xml:space="preserve">. Muzeum jest wielofunkcyjnym centrum edukacyjne i kulturalne, z bogatą ofertą programową. Jest też otwartym forum, miejscem dialogu na temat przeszłości, teraźniejszości i przyszłości. Inspiruje gości do refleksji nad znaczeniem dziedzictwa żydowskiego w Polsce, do odkrywania jego spuścizny dla świata. Pokazuje nowe sposoby doświadczania historii, poprzez szerokie spektrum programów edukacyjnych i kulturalnych, dla dorosłych i dzieci, dla gości z Polski i z całego świata. </w:t>
      </w:r>
    </w:p>
    <w:p w14:paraId="3FA922C2" w14:textId="77777777" w:rsidR="00761D45" w:rsidRPr="00B42E08" w:rsidRDefault="00761D45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lastRenderedPageBreak/>
        <w:t xml:space="preserve">Muzeum ściera się ze stereotypami i promuje odpowiedzialność społeczną, wartości demokratyczne i zaangażowanie obywatelskie. Muzeum chce inicjować społeczną zmianę. </w:t>
      </w:r>
    </w:p>
    <w:p w14:paraId="56A738E7" w14:textId="77777777" w:rsidR="00761D45" w:rsidRPr="00B42E08" w:rsidRDefault="00761D45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Muzeum Historii Żydów Polskich chce być i staje się jedną z najważniejszych placówek tego typu na świecie, jest także największym muzeum o tematyce żydowskiej w Europie. Jest wielofunkcyjną instytucją kultury w Warszawie, wielokrotnie nagradzaną w najważniejszych branżowych konkursach wizytówką zarówno Warszawy jak i Polski. </w:t>
      </w:r>
    </w:p>
    <w:p w14:paraId="4E47850B" w14:textId="77777777" w:rsidR="00761D45" w:rsidRPr="00B42E08" w:rsidRDefault="00761D45" w:rsidP="00C01182">
      <w:pPr>
        <w:pStyle w:val="Default"/>
        <w:spacing w:before="240" w:line="360" w:lineRule="auto"/>
        <w:rPr>
          <w:rFonts w:asciiTheme="minorHAnsi" w:eastAsia="Arial" w:hAnsiTheme="minorHAnsi" w:cstheme="minorHAnsi"/>
          <w:b/>
          <w:color w:val="auto"/>
        </w:rPr>
      </w:pPr>
      <w:r w:rsidRPr="00B42E08">
        <w:rPr>
          <w:rFonts w:asciiTheme="minorHAnsi" w:eastAsia="Arial" w:hAnsiTheme="minorHAnsi" w:cstheme="minorHAnsi"/>
          <w:b/>
          <w:color w:val="auto"/>
        </w:rPr>
        <w:t xml:space="preserve">Budynek </w:t>
      </w:r>
    </w:p>
    <w:p w14:paraId="28C7CEE4" w14:textId="77777777" w:rsidR="00761D45" w:rsidRPr="00B42E08" w:rsidRDefault="00761D45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Wielokrotnie nagradzany budynek Muzeum POLIN to perła współczesnej architektury. Jego symbolika odnosi się do żydowskiej historii a sam budynek wpisuje się w narrację muzeum, realizującego ideę "muzeum życia".</w:t>
      </w:r>
    </w:p>
    <w:p w14:paraId="2A68C1BE" w14:textId="77777777" w:rsidR="00761D45" w:rsidRPr="00B42E08" w:rsidRDefault="00761D45" w:rsidP="00C01182">
      <w:pPr>
        <w:pStyle w:val="Default"/>
        <w:spacing w:before="240" w:line="360" w:lineRule="auto"/>
        <w:rPr>
          <w:rFonts w:asciiTheme="minorHAnsi" w:eastAsia="Arial" w:hAnsiTheme="minorHAnsi" w:cstheme="minorHAnsi"/>
          <w:b/>
          <w:color w:val="auto"/>
        </w:rPr>
      </w:pPr>
      <w:r w:rsidRPr="00B42E08">
        <w:rPr>
          <w:rFonts w:asciiTheme="minorHAnsi" w:eastAsia="Arial" w:hAnsiTheme="minorHAnsi" w:cstheme="minorHAnsi"/>
          <w:b/>
          <w:color w:val="auto"/>
        </w:rPr>
        <w:t>Wystawa Stała</w:t>
      </w:r>
    </w:p>
    <w:p w14:paraId="39E607D1" w14:textId="3A1EF6A5" w:rsidR="00761D45" w:rsidRPr="00B42E08" w:rsidRDefault="00761D45" w:rsidP="00876FEF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Wystawa stała jest sercem Muzeum POLIN. Przechodząc przez osiem galerii – rozpoczynając od średniowiecza, na współczesności kończąc – goście Muzeum wyruszają w podróż. Zamiast przyglądać się zwykłym eksponatom, zostaną zanurzeni w opowieść, która prowadzi ich przez wieki. Przejdą przedwojenną żydowską ulicą; zobaczą zrekonstruowaną drewnianą synagogę, która została odtworzoną tradycyjnymi metodami; poznają historię opowiedzianą z perspektywy rzeczywistych bohaterów wydarzeń. Wystawa ma zadanie angażować zwiedzających na poziomie emocjonalnym i intelektualnym, pozwoli doświadczyć i zrozumieć dzieje Żydów polskich oraz wyjątkowość polsko-żydowskiej kultury. </w:t>
      </w:r>
    </w:p>
    <w:p w14:paraId="2B0EA143" w14:textId="6EAA7F5F" w:rsidR="00AA1FB2" w:rsidRPr="00B42E08" w:rsidRDefault="002372CE" w:rsidP="002372CE">
      <w:pPr>
        <w:pStyle w:val="Default"/>
        <w:spacing w:before="240" w:line="360" w:lineRule="auto"/>
        <w:rPr>
          <w:rFonts w:asciiTheme="minorHAnsi" w:eastAsia="Arial" w:hAnsiTheme="minorHAnsi" w:cstheme="minorHAnsi"/>
          <w:b/>
          <w:bCs/>
          <w:color w:val="auto"/>
        </w:rPr>
      </w:pPr>
      <w:r>
        <w:rPr>
          <w:rFonts w:asciiTheme="minorHAnsi" w:eastAsia="Arial" w:hAnsiTheme="minorHAnsi" w:cstheme="minorHAnsi"/>
          <w:b/>
          <w:bCs/>
          <w:color w:val="auto"/>
        </w:rPr>
        <w:t>P</w:t>
      </w:r>
      <w:r w:rsidR="00AA1FB2" w:rsidRPr="00B42E08">
        <w:rPr>
          <w:rFonts w:asciiTheme="minorHAnsi" w:eastAsia="Arial" w:hAnsiTheme="minorHAnsi" w:cstheme="minorHAnsi"/>
          <w:b/>
          <w:bCs/>
          <w:color w:val="auto"/>
        </w:rPr>
        <w:t>lanowane wystawy czasowe</w:t>
      </w:r>
    </w:p>
    <w:p w14:paraId="0CB9EECC" w14:textId="1EBC30A7" w:rsidR="00AA1FB2" w:rsidRPr="00B42E08" w:rsidRDefault="00B40E6F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18.04.2023-08.01.2024 – „Wokół nas morze ognia. </w:t>
      </w:r>
      <w:r w:rsidR="00956ED6" w:rsidRPr="00B42E08">
        <w:rPr>
          <w:rFonts w:asciiTheme="minorHAnsi" w:eastAsia="Arial" w:hAnsiTheme="minorHAnsi" w:cstheme="minorHAnsi"/>
          <w:color w:val="auto"/>
        </w:rPr>
        <w:t>Losy żydowskich cywilów podczas powstania w getcie warszawskim”</w:t>
      </w:r>
    </w:p>
    <w:p w14:paraId="48C6A78E" w14:textId="7F77586F" w:rsidR="00761D45" w:rsidRPr="00B42E08" w:rsidRDefault="00AD4473" w:rsidP="001D05CC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5.04.2024-</w:t>
      </w:r>
      <w:r w:rsidR="002372CE">
        <w:rPr>
          <w:rFonts w:asciiTheme="minorHAnsi" w:eastAsia="Arial" w:hAnsiTheme="minorHAnsi" w:cstheme="minorHAnsi"/>
          <w:color w:val="auto"/>
        </w:rPr>
        <w:t>1</w:t>
      </w:r>
      <w:r w:rsidRPr="00B42E08">
        <w:rPr>
          <w:rFonts w:asciiTheme="minorHAnsi" w:eastAsia="Arial" w:hAnsiTheme="minorHAnsi" w:cstheme="minorHAnsi"/>
          <w:color w:val="auto"/>
        </w:rPr>
        <w:t>8.1</w:t>
      </w:r>
      <w:r w:rsidR="002372CE">
        <w:rPr>
          <w:rFonts w:asciiTheme="minorHAnsi" w:eastAsia="Arial" w:hAnsiTheme="minorHAnsi" w:cstheme="minorHAnsi"/>
          <w:color w:val="auto"/>
        </w:rPr>
        <w:t>1</w:t>
      </w:r>
      <w:r w:rsidRPr="00B42E08">
        <w:rPr>
          <w:rFonts w:asciiTheme="minorHAnsi" w:eastAsia="Arial" w:hAnsiTheme="minorHAnsi" w:cstheme="minorHAnsi"/>
          <w:color w:val="auto"/>
        </w:rPr>
        <w:t xml:space="preserve">.2024 – „Opatów oczami Mayera </w:t>
      </w:r>
      <w:proofErr w:type="spellStart"/>
      <w:r w:rsidRPr="00B42E08">
        <w:rPr>
          <w:rFonts w:asciiTheme="minorHAnsi" w:eastAsia="Arial" w:hAnsiTheme="minorHAnsi" w:cstheme="minorHAnsi"/>
          <w:color w:val="auto"/>
        </w:rPr>
        <w:t>Kirshenblatta</w:t>
      </w:r>
      <w:proofErr w:type="spellEnd"/>
      <w:r w:rsidRPr="00B42E08">
        <w:rPr>
          <w:rFonts w:asciiTheme="minorHAnsi" w:eastAsia="Arial" w:hAnsiTheme="minorHAnsi" w:cstheme="minorHAnsi"/>
          <w:color w:val="auto"/>
        </w:rPr>
        <w:t xml:space="preserve">” </w:t>
      </w:r>
      <w:r w:rsidR="006A160E" w:rsidRPr="00B42E08">
        <w:rPr>
          <w:rFonts w:asciiTheme="minorHAnsi" w:eastAsia="Arial" w:hAnsiTheme="minorHAnsi" w:cstheme="minorHAnsi"/>
          <w:color w:val="auto"/>
        </w:rPr>
        <w:t>–</w:t>
      </w:r>
      <w:r w:rsidRPr="00B42E08">
        <w:rPr>
          <w:rFonts w:asciiTheme="minorHAnsi" w:eastAsia="Arial" w:hAnsiTheme="minorHAnsi" w:cstheme="minorHAnsi"/>
          <w:color w:val="auto"/>
        </w:rPr>
        <w:t xml:space="preserve"> </w:t>
      </w:r>
      <w:r w:rsidR="006A160E" w:rsidRPr="00B42E08">
        <w:rPr>
          <w:rFonts w:asciiTheme="minorHAnsi" w:eastAsia="Arial" w:hAnsiTheme="minorHAnsi" w:cstheme="minorHAnsi"/>
          <w:color w:val="auto"/>
        </w:rPr>
        <w:t>termin wystawy oraz tytuł są mogą się nieznacznie zmienić</w:t>
      </w:r>
    </w:p>
    <w:p w14:paraId="0816C922" w14:textId="77777777" w:rsidR="00761D45" w:rsidRPr="00B42E08" w:rsidRDefault="00761D45" w:rsidP="002372CE">
      <w:pPr>
        <w:pStyle w:val="Default"/>
        <w:spacing w:before="240" w:line="360" w:lineRule="auto"/>
        <w:rPr>
          <w:rFonts w:asciiTheme="minorHAnsi" w:eastAsia="Arial" w:hAnsiTheme="minorHAnsi" w:cstheme="minorHAnsi"/>
          <w:b/>
          <w:color w:val="auto"/>
        </w:rPr>
      </w:pPr>
      <w:r w:rsidRPr="00B42E08">
        <w:rPr>
          <w:rFonts w:asciiTheme="minorHAnsi" w:eastAsia="Arial" w:hAnsiTheme="minorHAnsi" w:cstheme="minorHAnsi"/>
          <w:b/>
          <w:color w:val="auto"/>
        </w:rPr>
        <w:t xml:space="preserve">Książki w sklepie Muzeum – założenia ogólne </w:t>
      </w:r>
    </w:p>
    <w:p w14:paraId="36E05444" w14:textId="19B25C60" w:rsidR="00761D45" w:rsidRPr="00B42E08" w:rsidRDefault="00761D45" w:rsidP="00876FEF">
      <w:pPr>
        <w:pStyle w:val="Default"/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lastRenderedPageBreak/>
        <w:t xml:space="preserve">Książki dostępne w sklepie powinny przede wszystkim rozwijać tematykę wystawy stałej i wystaw czasowych Muzeum, a więc odnosić się i poszerzać wiedzę o historii i kulturze społeczności żydowskiej w Polsce. Powinny dotyczyć: </w:t>
      </w:r>
    </w:p>
    <w:p w14:paraId="570D98E2" w14:textId="4AE55C8B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początków osadnictwa żydowskiego w Polsce w X w., </w:t>
      </w:r>
    </w:p>
    <w:p w14:paraId="3FAEEA52" w14:textId="548834D2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kształtowania relacji między nowo powstałym państwem polskim, a osadnikami żydowskimi oraz wpływu Żydów na kolonizację i rozwój gospodarczy kraju, </w:t>
      </w:r>
    </w:p>
    <w:p w14:paraId="34602BEC" w14:textId="4A33B786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stosunków między Kościołem a Żydami w pierwszych wiekach istnienia państwa, </w:t>
      </w:r>
    </w:p>
    <w:p w14:paraId="6881D84B" w14:textId="480AE9C8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funkcjonowania żydowskiej wspólnoty, autonomicznych władz, organizacji wewnętrznej, gminnych instytucji (synagoga, mykwa, cmentarz), </w:t>
      </w:r>
    </w:p>
    <w:p w14:paraId="5853B419" w14:textId="2503D58C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demografii ludności żydowskiej Polsce w XV i XVI w., </w:t>
      </w:r>
    </w:p>
    <w:p w14:paraId="1E3110C8" w14:textId="49976406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„Złotego wieku” Żydów polskich (gminnej autonomii, wzroście demograficznym), </w:t>
      </w:r>
    </w:p>
    <w:p w14:paraId="5B5D7922" w14:textId="059EDCA2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rozwoju żydowskiej kultury i nauki (od XVI do połowy XVII w.), </w:t>
      </w:r>
    </w:p>
    <w:p w14:paraId="2BFCFB33" w14:textId="4B6A2464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stosunków prawnych i handlowych między Żydami i chrześcijanami, </w:t>
      </w:r>
    </w:p>
    <w:p w14:paraId="233D91F2" w14:textId="7DF508FC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udziału Żydów w systemie gospodarki szlacheckiej, </w:t>
      </w:r>
    </w:p>
    <w:p w14:paraId="0C14B028" w14:textId="6EE1EA8F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najważniejszych procesów demograficznych kształtujących geograficzny i społeczny obraz struktury osadniczej Żydów w XVII- i XVIII-wiecznej Rzeczypospolitej, </w:t>
      </w:r>
    </w:p>
    <w:p w14:paraId="10B6ADB3" w14:textId="00C97EFF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stosunków gospodarczych, sferze publicznych relacji i organizacji życia zbiorowego, życia rodzinnego i domowego, ambiwalentnych postawach Kościoła katolickiego wobec Żydów, </w:t>
      </w:r>
    </w:p>
    <w:p w14:paraId="4B326439" w14:textId="515A9BA7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życia religijnego i jego formach organizacji, XVIII-wiecznej duchowość i nowych trendach religijnych (początkach chasydyzmu, początkach haskali), zwyczajów religijnych, rozwoju żydowskiej kultury materialnej i duchowej na ziemiach Rzeczypospolitej w XVII i XVIII wieku, </w:t>
      </w:r>
    </w:p>
    <w:p w14:paraId="673BC163" w14:textId="1831F4E2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zmian form życia społeczności żydowskiej pod wpływem przeobrażeń zachodzących w Rzeczypospolitej i zmianach ram polityczno-prawnych, </w:t>
      </w:r>
    </w:p>
    <w:p w14:paraId="7A76D544" w14:textId="78A13C36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lastRenderedPageBreak/>
        <w:t xml:space="preserve">zmian gospodarczych w społeczności żydowskiej zachodzących pod wpływem przeobrażeń przedkapitalistycznych i kapitalistycznych na ziemiach polskich, polityzacji społeczności żydowskiej i kształtowaniu się nowoczesnej kultury żydowskiej, </w:t>
      </w:r>
    </w:p>
    <w:p w14:paraId="3BE09DE5" w14:textId="34AA1EAA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bezwzględnego i względnego wzrostu liczby ludności żydowskiej w XIX w. oraz konsekwencjach tego procesu, </w:t>
      </w:r>
    </w:p>
    <w:p w14:paraId="33162E56" w14:textId="5DF90759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pytań o tożsamość własną i kierunkach akulturacji i integracji, </w:t>
      </w:r>
    </w:p>
    <w:p w14:paraId="74FC7267" w14:textId="3011EE58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bogatego życia kulturalnego społeczności żydowskiej w okresie międzywojennym, transformacji politycznych, społecznych i kulturalnych tej społeczności, </w:t>
      </w:r>
    </w:p>
    <w:p w14:paraId="13BDDF78" w14:textId="003F8624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polityki tego okresu, stosunkach państwa polskiego z jego żydowskimi obywatelami, </w:t>
      </w:r>
    </w:p>
    <w:p w14:paraId="7632B06B" w14:textId="13041851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procesu formowania się młodego pokolenia Żydów dorastających w międzywojniu: ich wychowaniu i edukacji, uczestnictwu w polskiej kulturze, zaangażowaniu w żydowskie ruchy polityczne, </w:t>
      </w:r>
    </w:p>
    <w:p w14:paraId="11A6F10F" w14:textId="007204D3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życia codziennego społeczności żydowskiej w międzywojniu, </w:t>
      </w:r>
    </w:p>
    <w:p w14:paraId="4C7A8D69" w14:textId="0C13BE80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wybuchu II wojny światowej. Form prześladowań i terroru Żydów - stadia procesu Zagłady, </w:t>
      </w:r>
    </w:p>
    <w:p w14:paraId="148FE17E" w14:textId="08EDA2DB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historii getta warszawskiego i różnych przejawach życia za murami, </w:t>
      </w:r>
    </w:p>
    <w:p w14:paraId="6ECA6B46" w14:textId="3A3AABB6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postaw Polaków wobec Żydów i Zagłady, </w:t>
      </w:r>
    </w:p>
    <w:p w14:paraId="668247BA" w14:textId="4B4332C3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różnych form ukrywania się, </w:t>
      </w:r>
    </w:p>
    <w:p w14:paraId="2F06889B" w14:textId="3355526F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prób powiadomienia świata o Zagładzie, </w:t>
      </w:r>
    </w:p>
    <w:p w14:paraId="28B37A93" w14:textId="5D3C8E00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skutków Holokaustu, </w:t>
      </w:r>
    </w:p>
    <w:p w14:paraId="08723232" w14:textId="29715634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okresu 1949-1968 - czasie ideologicznego dyktatu i asymilacji; </w:t>
      </w:r>
    </w:p>
    <w:p w14:paraId="1FFC6502" w14:textId="6CAD40D7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masowych emigracjach w latach 1949-1950, 1957-1960, </w:t>
      </w:r>
    </w:p>
    <w:p w14:paraId="30BBC416" w14:textId="743DC415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Marca 1968, </w:t>
      </w:r>
    </w:p>
    <w:p w14:paraId="2E5E48F9" w14:textId="4E9D397C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poszukiwania żydowskiej tożsamości, </w:t>
      </w:r>
    </w:p>
    <w:p w14:paraId="72224F25" w14:textId="38ED2D31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powstania instytucji żydowskich, </w:t>
      </w:r>
    </w:p>
    <w:p w14:paraId="294344B7" w14:textId="5EED2005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„żydowskiej obecność w polskiej świadomości”. </w:t>
      </w:r>
    </w:p>
    <w:p w14:paraId="14AFE724" w14:textId="3D5A39A6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biografi</w:t>
      </w:r>
      <w:r w:rsidR="00B5041E" w:rsidRPr="00B42E08">
        <w:rPr>
          <w:rFonts w:asciiTheme="minorHAnsi" w:eastAsia="Arial" w:hAnsiTheme="minorHAnsi" w:cstheme="minorHAnsi"/>
          <w:color w:val="auto"/>
        </w:rPr>
        <w:t>i</w:t>
      </w:r>
      <w:r w:rsidRPr="00B42E08">
        <w:rPr>
          <w:rFonts w:asciiTheme="minorHAnsi" w:eastAsia="Arial" w:hAnsiTheme="minorHAnsi" w:cstheme="minorHAnsi"/>
          <w:color w:val="auto"/>
        </w:rPr>
        <w:t xml:space="preserve"> (związane z tematyką żydowską lub Holokaustem), </w:t>
      </w:r>
    </w:p>
    <w:p w14:paraId="3B430E92" w14:textId="2C02E05E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lastRenderedPageBreak/>
        <w:t>genealogi</w:t>
      </w:r>
      <w:r w:rsidR="00B5041E" w:rsidRPr="00B42E08">
        <w:rPr>
          <w:rFonts w:asciiTheme="minorHAnsi" w:eastAsia="Arial" w:hAnsiTheme="minorHAnsi" w:cstheme="minorHAnsi"/>
          <w:color w:val="auto"/>
        </w:rPr>
        <w:t>i</w:t>
      </w:r>
      <w:r w:rsidRPr="00B42E08">
        <w:rPr>
          <w:rFonts w:asciiTheme="minorHAnsi" w:eastAsia="Arial" w:hAnsiTheme="minorHAnsi" w:cstheme="minorHAnsi"/>
          <w:color w:val="auto"/>
        </w:rPr>
        <w:t xml:space="preserve"> – tezy ogólne i podręczniki, nie tylko związane z Żydami, - historia lokalna Żydów polskich, </w:t>
      </w:r>
    </w:p>
    <w:p w14:paraId="1692BD40" w14:textId="68714257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kultur</w:t>
      </w:r>
      <w:r w:rsidR="00B5041E" w:rsidRPr="00B42E08">
        <w:rPr>
          <w:rFonts w:asciiTheme="minorHAnsi" w:eastAsia="Arial" w:hAnsiTheme="minorHAnsi" w:cstheme="minorHAnsi"/>
          <w:color w:val="auto"/>
        </w:rPr>
        <w:t>y</w:t>
      </w:r>
      <w:r w:rsidRPr="00B42E08">
        <w:rPr>
          <w:rFonts w:asciiTheme="minorHAnsi" w:eastAsia="Arial" w:hAnsiTheme="minorHAnsi" w:cstheme="minorHAnsi"/>
          <w:color w:val="auto"/>
        </w:rPr>
        <w:t xml:space="preserve"> Żydów polskich: kino, teatr, muzyka, sztuka, nauka et al., </w:t>
      </w:r>
    </w:p>
    <w:p w14:paraId="1672FB4C" w14:textId="7B0D1653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judaizm</w:t>
      </w:r>
      <w:r w:rsidR="00B5041E" w:rsidRPr="00B42E08">
        <w:rPr>
          <w:rFonts w:asciiTheme="minorHAnsi" w:eastAsia="Arial" w:hAnsiTheme="minorHAnsi" w:cstheme="minorHAnsi"/>
          <w:color w:val="auto"/>
        </w:rPr>
        <w:t>u</w:t>
      </w:r>
      <w:r w:rsidRPr="00B42E08">
        <w:rPr>
          <w:rFonts w:asciiTheme="minorHAnsi" w:eastAsia="Arial" w:hAnsiTheme="minorHAnsi" w:cstheme="minorHAnsi"/>
          <w:color w:val="auto"/>
        </w:rPr>
        <w:t>, literatur</w:t>
      </w:r>
      <w:r w:rsidR="00B5041E" w:rsidRPr="00B42E08">
        <w:rPr>
          <w:rFonts w:asciiTheme="minorHAnsi" w:eastAsia="Arial" w:hAnsiTheme="minorHAnsi" w:cstheme="minorHAnsi"/>
          <w:color w:val="auto"/>
        </w:rPr>
        <w:t>y</w:t>
      </w:r>
      <w:r w:rsidRPr="00B42E08">
        <w:rPr>
          <w:rFonts w:asciiTheme="minorHAnsi" w:eastAsia="Arial" w:hAnsiTheme="minorHAnsi" w:cstheme="minorHAnsi"/>
          <w:color w:val="auto"/>
        </w:rPr>
        <w:t xml:space="preserve"> religijn</w:t>
      </w:r>
      <w:r w:rsidR="00B5041E" w:rsidRPr="00B42E08">
        <w:rPr>
          <w:rFonts w:asciiTheme="minorHAnsi" w:eastAsia="Arial" w:hAnsiTheme="minorHAnsi" w:cstheme="minorHAnsi"/>
          <w:color w:val="auto"/>
        </w:rPr>
        <w:t>ej</w:t>
      </w:r>
      <w:r w:rsidRPr="00B42E08">
        <w:rPr>
          <w:rFonts w:asciiTheme="minorHAnsi" w:eastAsia="Arial" w:hAnsiTheme="minorHAnsi" w:cstheme="minorHAnsi"/>
          <w:color w:val="auto"/>
        </w:rPr>
        <w:t xml:space="preserve">, </w:t>
      </w:r>
    </w:p>
    <w:p w14:paraId="541F4B2E" w14:textId="45B7FC5B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sztuk</w:t>
      </w:r>
      <w:r w:rsidR="00B5041E" w:rsidRPr="00B42E08">
        <w:rPr>
          <w:rFonts w:asciiTheme="minorHAnsi" w:eastAsia="Arial" w:hAnsiTheme="minorHAnsi" w:cstheme="minorHAnsi"/>
          <w:color w:val="auto"/>
        </w:rPr>
        <w:t>i</w:t>
      </w:r>
      <w:r w:rsidRPr="00B42E08">
        <w:rPr>
          <w:rFonts w:asciiTheme="minorHAnsi" w:eastAsia="Arial" w:hAnsiTheme="minorHAnsi" w:cstheme="minorHAnsi"/>
          <w:color w:val="auto"/>
        </w:rPr>
        <w:t xml:space="preserve"> żydowsk</w:t>
      </w:r>
      <w:r w:rsidR="00B5041E" w:rsidRPr="00B42E08">
        <w:rPr>
          <w:rFonts w:asciiTheme="minorHAnsi" w:eastAsia="Arial" w:hAnsiTheme="minorHAnsi" w:cstheme="minorHAnsi"/>
          <w:color w:val="auto"/>
        </w:rPr>
        <w:t xml:space="preserve">iej </w:t>
      </w:r>
      <w:r w:rsidRPr="00B42E08">
        <w:rPr>
          <w:rFonts w:asciiTheme="minorHAnsi" w:eastAsia="Arial" w:hAnsiTheme="minorHAnsi" w:cstheme="minorHAnsi"/>
          <w:color w:val="auto"/>
        </w:rPr>
        <w:t xml:space="preserve">– sztuka Żydów w Polsce i na świecie (malarstwo, rzemiosło, kolekcjonerstwo, sztuka sepulkralna), albumy, katalogi wystaw, przewodniki, </w:t>
      </w:r>
    </w:p>
    <w:p w14:paraId="4F9402DF" w14:textId="612590DE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architektur</w:t>
      </w:r>
      <w:r w:rsidR="00B5041E" w:rsidRPr="00B42E08">
        <w:rPr>
          <w:rFonts w:asciiTheme="minorHAnsi" w:eastAsia="Arial" w:hAnsiTheme="minorHAnsi" w:cstheme="minorHAnsi"/>
          <w:color w:val="auto"/>
        </w:rPr>
        <w:t>y</w:t>
      </w:r>
      <w:r w:rsidRPr="00B42E08">
        <w:rPr>
          <w:rFonts w:asciiTheme="minorHAnsi" w:eastAsia="Arial" w:hAnsiTheme="minorHAnsi" w:cstheme="minorHAnsi"/>
          <w:color w:val="auto"/>
        </w:rPr>
        <w:t xml:space="preserve"> synagog</w:t>
      </w:r>
      <w:r w:rsidR="00B5041E" w:rsidRPr="00B42E08">
        <w:rPr>
          <w:rFonts w:asciiTheme="minorHAnsi" w:eastAsia="Arial" w:hAnsiTheme="minorHAnsi" w:cstheme="minorHAnsi"/>
          <w:color w:val="auto"/>
        </w:rPr>
        <w:t xml:space="preserve"> -</w:t>
      </w:r>
      <w:r w:rsidRPr="00B42E08">
        <w:rPr>
          <w:rFonts w:asciiTheme="minorHAnsi" w:eastAsia="Arial" w:hAnsiTheme="minorHAnsi" w:cstheme="minorHAnsi"/>
          <w:color w:val="auto"/>
        </w:rPr>
        <w:t xml:space="preserve"> książki dokumentujące stan zachowania dziedzictwa żydowskiego w Polsce (przewodniki, albumy), </w:t>
      </w:r>
    </w:p>
    <w:p w14:paraId="7C3EF2B6" w14:textId="1B446DA9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tradycj</w:t>
      </w:r>
      <w:r w:rsidR="00B5041E" w:rsidRPr="00B42E08">
        <w:rPr>
          <w:rFonts w:asciiTheme="minorHAnsi" w:eastAsia="Arial" w:hAnsiTheme="minorHAnsi" w:cstheme="minorHAnsi"/>
          <w:color w:val="auto"/>
        </w:rPr>
        <w:t>i</w:t>
      </w:r>
      <w:r w:rsidRPr="00B42E08">
        <w:rPr>
          <w:rFonts w:asciiTheme="minorHAnsi" w:eastAsia="Arial" w:hAnsiTheme="minorHAnsi" w:cstheme="minorHAnsi"/>
          <w:color w:val="auto"/>
        </w:rPr>
        <w:t xml:space="preserve"> i obyczaj</w:t>
      </w:r>
      <w:r w:rsidR="00B5041E" w:rsidRPr="00B42E08">
        <w:rPr>
          <w:rFonts w:asciiTheme="minorHAnsi" w:eastAsia="Arial" w:hAnsiTheme="minorHAnsi" w:cstheme="minorHAnsi"/>
          <w:color w:val="auto"/>
        </w:rPr>
        <w:t>ów</w:t>
      </w:r>
      <w:r w:rsidRPr="00B42E08">
        <w:rPr>
          <w:rFonts w:asciiTheme="minorHAnsi" w:eastAsia="Arial" w:hAnsiTheme="minorHAnsi" w:cstheme="minorHAnsi"/>
          <w:color w:val="auto"/>
        </w:rPr>
        <w:t xml:space="preserve"> Żydów polskich, </w:t>
      </w:r>
    </w:p>
    <w:p w14:paraId="15F217D2" w14:textId="6A12C0D9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historiografi</w:t>
      </w:r>
      <w:r w:rsidR="00B5041E" w:rsidRPr="00B42E08">
        <w:rPr>
          <w:rFonts w:asciiTheme="minorHAnsi" w:eastAsia="Arial" w:hAnsiTheme="minorHAnsi" w:cstheme="minorHAnsi"/>
          <w:color w:val="auto"/>
        </w:rPr>
        <w:t>i</w:t>
      </w:r>
      <w:r w:rsidRPr="00B42E08">
        <w:rPr>
          <w:rFonts w:asciiTheme="minorHAnsi" w:eastAsia="Arial" w:hAnsiTheme="minorHAnsi" w:cstheme="minorHAnsi"/>
          <w:color w:val="auto"/>
        </w:rPr>
        <w:t xml:space="preserve">, </w:t>
      </w:r>
    </w:p>
    <w:p w14:paraId="038895C1" w14:textId="3DB4FB7A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muzealnictw</w:t>
      </w:r>
      <w:r w:rsidR="00B5041E" w:rsidRPr="00B42E08">
        <w:rPr>
          <w:rFonts w:asciiTheme="minorHAnsi" w:eastAsia="Arial" w:hAnsiTheme="minorHAnsi" w:cstheme="minorHAnsi"/>
          <w:color w:val="auto"/>
        </w:rPr>
        <w:t>a</w:t>
      </w:r>
      <w:r w:rsidRPr="00B42E08">
        <w:rPr>
          <w:rFonts w:asciiTheme="minorHAnsi" w:eastAsia="Arial" w:hAnsiTheme="minorHAnsi" w:cstheme="minorHAnsi"/>
          <w:color w:val="auto"/>
        </w:rPr>
        <w:t xml:space="preserve"> (w szczególności muzea żydowskie na świecie), </w:t>
      </w:r>
    </w:p>
    <w:p w14:paraId="29E5C503" w14:textId="351F8014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varsaviana, </w:t>
      </w:r>
    </w:p>
    <w:p w14:paraId="6EC3CAE5" w14:textId="52E95EC1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edycj</w:t>
      </w:r>
      <w:r w:rsidR="00B5041E" w:rsidRPr="00B42E08">
        <w:rPr>
          <w:rFonts w:asciiTheme="minorHAnsi" w:eastAsia="Arial" w:hAnsiTheme="minorHAnsi" w:cstheme="minorHAnsi"/>
          <w:color w:val="auto"/>
        </w:rPr>
        <w:t>i</w:t>
      </w:r>
      <w:r w:rsidRPr="00B42E08">
        <w:rPr>
          <w:rFonts w:asciiTheme="minorHAnsi" w:eastAsia="Arial" w:hAnsiTheme="minorHAnsi" w:cstheme="minorHAnsi"/>
          <w:color w:val="auto"/>
        </w:rPr>
        <w:t xml:space="preserve"> źródeł historycznych, przewodniki po archiwach, </w:t>
      </w:r>
    </w:p>
    <w:p w14:paraId="684BA5FB" w14:textId="7DFF68F0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literatur</w:t>
      </w:r>
      <w:r w:rsidR="00B5041E" w:rsidRPr="00B42E08">
        <w:rPr>
          <w:rFonts w:asciiTheme="minorHAnsi" w:eastAsia="Arial" w:hAnsiTheme="minorHAnsi" w:cstheme="minorHAnsi"/>
          <w:color w:val="auto"/>
        </w:rPr>
        <w:t>y</w:t>
      </w:r>
      <w:r w:rsidRPr="00B42E08">
        <w:rPr>
          <w:rFonts w:asciiTheme="minorHAnsi" w:eastAsia="Arial" w:hAnsiTheme="minorHAnsi" w:cstheme="minorHAnsi"/>
          <w:color w:val="auto"/>
        </w:rPr>
        <w:t xml:space="preserve"> faktu (żydowskie relacje, pamiętniki, wspomnienia), </w:t>
      </w:r>
    </w:p>
    <w:p w14:paraId="392B7283" w14:textId="2D7874B1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pozycj</w:t>
      </w:r>
      <w:r w:rsidR="00B5041E" w:rsidRPr="00B42E08">
        <w:rPr>
          <w:rFonts w:asciiTheme="minorHAnsi" w:eastAsia="Arial" w:hAnsiTheme="minorHAnsi" w:cstheme="minorHAnsi"/>
          <w:color w:val="auto"/>
        </w:rPr>
        <w:t>i</w:t>
      </w:r>
      <w:r w:rsidRPr="00B42E08">
        <w:rPr>
          <w:rFonts w:asciiTheme="minorHAnsi" w:eastAsia="Arial" w:hAnsiTheme="minorHAnsi" w:cstheme="minorHAnsi"/>
          <w:color w:val="auto"/>
        </w:rPr>
        <w:t xml:space="preserve"> z rynku antykwarycznego (zwłaszcza klasyków lit. jidysz), </w:t>
      </w:r>
    </w:p>
    <w:p w14:paraId="52D4EDBF" w14:textId="221FA0D7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literatur</w:t>
      </w:r>
      <w:r w:rsidR="00B5041E" w:rsidRPr="00B42E08">
        <w:rPr>
          <w:rFonts w:asciiTheme="minorHAnsi" w:eastAsia="Arial" w:hAnsiTheme="minorHAnsi" w:cstheme="minorHAnsi"/>
          <w:color w:val="auto"/>
        </w:rPr>
        <w:t>y</w:t>
      </w:r>
      <w:r w:rsidRPr="00B42E08">
        <w:rPr>
          <w:rFonts w:asciiTheme="minorHAnsi" w:eastAsia="Arial" w:hAnsiTheme="minorHAnsi" w:cstheme="minorHAnsi"/>
          <w:color w:val="auto"/>
        </w:rPr>
        <w:t xml:space="preserve"> piękn</w:t>
      </w:r>
      <w:r w:rsidR="00B048AA" w:rsidRPr="00B42E08">
        <w:rPr>
          <w:rFonts w:asciiTheme="minorHAnsi" w:eastAsia="Arial" w:hAnsiTheme="minorHAnsi" w:cstheme="minorHAnsi"/>
          <w:color w:val="auto"/>
        </w:rPr>
        <w:t>ej</w:t>
      </w:r>
      <w:r w:rsidRPr="00B42E08">
        <w:rPr>
          <w:rFonts w:asciiTheme="minorHAnsi" w:eastAsia="Arial" w:hAnsiTheme="minorHAnsi" w:cstheme="minorHAnsi"/>
          <w:color w:val="auto"/>
        </w:rPr>
        <w:t xml:space="preserve"> polsk</w:t>
      </w:r>
      <w:r w:rsidR="00B048AA" w:rsidRPr="00B42E08">
        <w:rPr>
          <w:rFonts w:asciiTheme="minorHAnsi" w:eastAsia="Arial" w:hAnsiTheme="minorHAnsi" w:cstheme="minorHAnsi"/>
          <w:color w:val="auto"/>
        </w:rPr>
        <w:t>iej</w:t>
      </w:r>
      <w:r w:rsidRPr="00B42E08">
        <w:rPr>
          <w:rFonts w:asciiTheme="minorHAnsi" w:eastAsia="Arial" w:hAnsiTheme="minorHAnsi" w:cstheme="minorHAnsi"/>
          <w:color w:val="auto"/>
        </w:rPr>
        <w:t xml:space="preserve"> i izraelsk</w:t>
      </w:r>
      <w:r w:rsidR="00B048AA" w:rsidRPr="00B42E08">
        <w:rPr>
          <w:rFonts w:asciiTheme="minorHAnsi" w:eastAsia="Arial" w:hAnsiTheme="minorHAnsi" w:cstheme="minorHAnsi"/>
          <w:color w:val="auto"/>
        </w:rPr>
        <w:t>iej</w:t>
      </w:r>
      <w:r w:rsidRPr="00B42E08">
        <w:rPr>
          <w:rFonts w:asciiTheme="minorHAnsi" w:eastAsia="Arial" w:hAnsiTheme="minorHAnsi" w:cstheme="minorHAnsi"/>
          <w:color w:val="auto"/>
        </w:rPr>
        <w:t>, światow</w:t>
      </w:r>
      <w:r w:rsidR="00B048AA" w:rsidRPr="00B42E08">
        <w:rPr>
          <w:rFonts w:asciiTheme="minorHAnsi" w:eastAsia="Arial" w:hAnsiTheme="minorHAnsi" w:cstheme="minorHAnsi"/>
          <w:color w:val="auto"/>
        </w:rPr>
        <w:t>ej</w:t>
      </w:r>
      <w:r w:rsidRPr="00B42E08">
        <w:rPr>
          <w:rFonts w:asciiTheme="minorHAnsi" w:eastAsia="Arial" w:hAnsiTheme="minorHAnsi" w:cstheme="minorHAnsi"/>
          <w:color w:val="auto"/>
        </w:rPr>
        <w:t xml:space="preserve"> (klasyka litery jidysz, również w przekładzie), </w:t>
      </w:r>
    </w:p>
    <w:p w14:paraId="4DB19047" w14:textId="3BCF6DAC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atlas</w:t>
      </w:r>
      <w:r w:rsidR="00B048AA" w:rsidRPr="00B42E08">
        <w:rPr>
          <w:rFonts w:asciiTheme="minorHAnsi" w:eastAsia="Arial" w:hAnsiTheme="minorHAnsi" w:cstheme="minorHAnsi"/>
          <w:color w:val="auto"/>
        </w:rPr>
        <w:t>ów</w:t>
      </w:r>
      <w:r w:rsidRPr="00B42E08">
        <w:rPr>
          <w:rFonts w:asciiTheme="minorHAnsi" w:eastAsia="Arial" w:hAnsiTheme="minorHAnsi" w:cstheme="minorHAnsi"/>
          <w:color w:val="auto"/>
        </w:rPr>
        <w:t xml:space="preserve"> historyczn</w:t>
      </w:r>
      <w:r w:rsidR="00B048AA" w:rsidRPr="00B42E08">
        <w:rPr>
          <w:rFonts w:asciiTheme="minorHAnsi" w:eastAsia="Arial" w:hAnsiTheme="minorHAnsi" w:cstheme="minorHAnsi"/>
          <w:color w:val="auto"/>
        </w:rPr>
        <w:t>ych</w:t>
      </w:r>
      <w:r w:rsidRPr="00B42E08">
        <w:rPr>
          <w:rFonts w:asciiTheme="minorHAnsi" w:eastAsia="Arial" w:hAnsiTheme="minorHAnsi" w:cstheme="minorHAnsi"/>
          <w:color w:val="auto"/>
        </w:rPr>
        <w:t xml:space="preserve"> uwzględniając</w:t>
      </w:r>
      <w:r w:rsidR="00B048AA" w:rsidRPr="00B42E08">
        <w:rPr>
          <w:rFonts w:asciiTheme="minorHAnsi" w:eastAsia="Arial" w:hAnsiTheme="minorHAnsi" w:cstheme="minorHAnsi"/>
          <w:color w:val="auto"/>
        </w:rPr>
        <w:t>ych</w:t>
      </w:r>
      <w:r w:rsidRPr="00B42E08">
        <w:rPr>
          <w:rFonts w:asciiTheme="minorHAnsi" w:eastAsia="Arial" w:hAnsiTheme="minorHAnsi" w:cstheme="minorHAnsi"/>
          <w:color w:val="auto"/>
        </w:rPr>
        <w:t xml:space="preserve"> historię Żydów w Polsce, mapy, plany miast, </w:t>
      </w:r>
    </w:p>
    <w:p w14:paraId="2FF8D01B" w14:textId="59EAE786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Izrael</w:t>
      </w:r>
      <w:r w:rsidR="00B048AA" w:rsidRPr="00B42E08">
        <w:rPr>
          <w:rFonts w:asciiTheme="minorHAnsi" w:eastAsia="Arial" w:hAnsiTheme="minorHAnsi" w:cstheme="minorHAnsi"/>
          <w:color w:val="auto"/>
        </w:rPr>
        <w:t>a</w:t>
      </w:r>
      <w:r w:rsidRPr="00B42E08">
        <w:rPr>
          <w:rFonts w:asciiTheme="minorHAnsi" w:eastAsia="Arial" w:hAnsiTheme="minorHAnsi" w:cstheme="minorHAnsi"/>
          <w:color w:val="auto"/>
        </w:rPr>
        <w:t xml:space="preserve">: kultura, społeczeństwo, historia, gospodarka, </w:t>
      </w:r>
    </w:p>
    <w:p w14:paraId="77546D41" w14:textId="037C8375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wyda</w:t>
      </w:r>
      <w:r w:rsidR="00B048AA" w:rsidRPr="00B42E08">
        <w:rPr>
          <w:rFonts w:asciiTheme="minorHAnsi" w:eastAsia="Arial" w:hAnsiTheme="minorHAnsi" w:cstheme="minorHAnsi"/>
          <w:color w:val="auto"/>
        </w:rPr>
        <w:t>ń</w:t>
      </w:r>
      <w:r w:rsidRPr="00B42E08">
        <w:rPr>
          <w:rFonts w:asciiTheme="minorHAnsi" w:eastAsia="Arial" w:hAnsiTheme="minorHAnsi" w:cstheme="minorHAnsi"/>
          <w:color w:val="auto"/>
        </w:rPr>
        <w:t xml:space="preserve"> akademicki</w:t>
      </w:r>
      <w:r w:rsidR="00B048AA" w:rsidRPr="00B42E08">
        <w:rPr>
          <w:rFonts w:asciiTheme="minorHAnsi" w:eastAsia="Arial" w:hAnsiTheme="minorHAnsi" w:cstheme="minorHAnsi"/>
          <w:color w:val="auto"/>
        </w:rPr>
        <w:t>ch</w:t>
      </w:r>
      <w:r w:rsidRPr="00B42E08">
        <w:rPr>
          <w:rFonts w:asciiTheme="minorHAnsi" w:eastAsia="Arial" w:hAnsiTheme="minorHAnsi" w:cstheme="minorHAnsi"/>
          <w:color w:val="auto"/>
        </w:rPr>
        <w:t xml:space="preserve"> z szerszych dziedzin antropologii, socjologii, psychologii, kulturoznawstwa dotyczące również innych mniejszości, różnorodności kulturowej, etnicznej, </w:t>
      </w:r>
    </w:p>
    <w:p w14:paraId="7CF04175" w14:textId="0B1EAE6F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słownik</w:t>
      </w:r>
      <w:r w:rsidR="00B048AA" w:rsidRPr="00B42E08">
        <w:rPr>
          <w:rFonts w:asciiTheme="minorHAnsi" w:eastAsia="Arial" w:hAnsiTheme="minorHAnsi" w:cstheme="minorHAnsi"/>
          <w:color w:val="auto"/>
        </w:rPr>
        <w:t>ów</w:t>
      </w:r>
      <w:r w:rsidRPr="00B42E08">
        <w:rPr>
          <w:rFonts w:asciiTheme="minorHAnsi" w:eastAsia="Arial" w:hAnsiTheme="minorHAnsi" w:cstheme="minorHAnsi"/>
          <w:color w:val="auto"/>
        </w:rPr>
        <w:t xml:space="preserve"> jidysz i hebrajski</w:t>
      </w:r>
      <w:r w:rsidR="00B048AA" w:rsidRPr="00B42E08">
        <w:rPr>
          <w:rFonts w:asciiTheme="minorHAnsi" w:eastAsia="Arial" w:hAnsiTheme="minorHAnsi" w:cstheme="minorHAnsi"/>
          <w:color w:val="auto"/>
        </w:rPr>
        <w:t>ch</w:t>
      </w:r>
      <w:r w:rsidRPr="00B42E08">
        <w:rPr>
          <w:rFonts w:asciiTheme="minorHAnsi" w:eastAsia="Arial" w:hAnsiTheme="minorHAnsi" w:cstheme="minorHAnsi"/>
          <w:color w:val="auto"/>
        </w:rPr>
        <w:t xml:space="preserve">, podręczniki do nauki języków żydowskich, </w:t>
      </w:r>
    </w:p>
    <w:p w14:paraId="280C269B" w14:textId="46C7BB07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kulinari</w:t>
      </w:r>
      <w:r w:rsidR="00B048AA" w:rsidRPr="00B42E08">
        <w:rPr>
          <w:rFonts w:asciiTheme="minorHAnsi" w:eastAsia="Arial" w:hAnsiTheme="minorHAnsi" w:cstheme="minorHAnsi"/>
          <w:color w:val="auto"/>
        </w:rPr>
        <w:t>ów</w:t>
      </w:r>
      <w:r w:rsidRPr="00B42E08">
        <w:rPr>
          <w:rFonts w:asciiTheme="minorHAnsi" w:eastAsia="Arial" w:hAnsiTheme="minorHAnsi" w:cstheme="minorHAnsi"/>
          <w:color w:val="auto"/>
        </w:rPr>
        <w:t xml:space="preserve">, </w:t>
      </w:r>
    </w:p>
    <w:p w14:paraId="7531E0F2" w14:textId="622B799B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śpiewnik</w:t>
      </w:r>
      <w:r w:rsidR="00B048AA" w:rsidRPr="00B42E08">
        <w:rPr>
          <w:rFonts w:asciiTheme="minorHAnsi" w:eastAsia="Arial" w:hAnsiTheme="minorHAnsi" w:cstheme="minorHAnsi"/>
          <w:color w:val="auto"/>
        </w:rPr>
        <w:t>ów</w:t>
      </w:r>
      <w:r w:rsidRPr="00B42E08">
        <w:rPr>
          <w:rFonts w:asciiTheme="minorHAnsi" w:eastAsia="Arial" w:hAnsiTheme="minorHAnsi" w:cstheme="minorHAnsi"/>
          <w:color w:val="auto"/>
        </w:rPr>
        <w:t xml:space="preserve">, </w:t>
      </w:r>
    </w:p>
    <w:p w14:paraId="158F9F8C" w14:textId="5B414C15" w:rsidR="00761D45" w:rsidRPr="00B42E08" w:rsidRDefault="00761D45" w:rsidP="00B646EB">
      <w:pPr>
        <w:pStyle w:val="Default"/>
        <w:numPr>
          <w:ilvl w:val="0"/>
          <w:numId w:val="55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książ</w:t>
      </w:r>
      <w:r w:rsidR="00B048AA" w:rsidRPr="00B42E08">
        <w:rPr>
          <w:rFonts w:asciiTheme="minorHAnsi" w:eastAsia="Arial" w:hAnsiTheme="minorHAnsi" w:cstheme="minorHAnsi"/>
          <w:color w:val="auto"/>
        </w:rPr>
        <w:t>ek</w:t>
      </w:r>
      <w:r w:rsidRPr="00B42E08">
        <w:rPr>
          <w:rFonts w:asciiTheme="minorHAnsi" w:eastAsia="Arial" w:hAnsiTheme="minorHAnsi" w:cstheme="minorHAnsi"/>
          <w:color w:val="auto"/>
        </w:rPr>
        <w:t xml:space="preserve"> dla dzieci i młodzieży o tematyce żydowskiej, </w:t>
      </w:r>
    </w:p>
    <w:p w14:paraId="116712D8" w14:textId="49DF9D0E" w:rsidR="00761D45" w:rsidRPr="00B42E08" w:rsidRDefault="00876FEF" w:rsidP="00876FEF">
      <w:pPr>
        <w:pStyle w:val="Default"/>
        <w:spacing w:before="240" w:line="360" w:lineRule="auto"/>
        <w:rPr>
          <w:rFonts w:asciiTheme="minorHAnsi" w:eastAsia="Arial" w:hAnsiTheme="minorHAnsi" w:cstheme="minorHAnsi"/>
          <w:b/>
          <w:color w:val="auto"/>
        </w:rPr>
      </w:pPr>
      <w:r>
        <w:rPr>
          <w:rFonts w:asciiTheme="minorHAnsi" w:eastAsia="Arial" w:hAnsiTheme="minorHAnsi" w:cstheme="minorHAnsi"/>
          <w:b/>
          <w:color w:val="auto"/>
        </w:rPr>
        <w:t>D</w:t>
      </w:r>
      <w:r w:rsidR="00761D45" w:rsidRPr="00B42E08">
        <w:rPr>
          <w:rFonts w:asciiTheme="minorHAnsi" w:eastAsia="Arial" w:hAnsiTheme="minorHAnsi" w:cstheme="minorHAnsi"/>
          <w:b/>
          <w:color w:val="auto"/>
        </w:rPr>
        <w:t xml:space="preserve">odatkowy asortyment: </w:t>
      </w:r>
    </w:p>
    <w:p w14:paraId="3A4A9799" w14:textId="3A2F75B0" w:rsidR="00761D45" w:rsidRPr="00B42E08" w:rsidRDefault="00761D45" w:rsidP="00BA1F19">
      <w:pPr>
        <w:pStyle w:val="Default"/>
        <w:numPr>
          <w:ilvl w:val="0"/>
          <w:numId w:val="56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lastRenderedPageBreak/>
        <w:t xml:space="preserve">materiały edukacyjne i dydaktyczne, </w:t>
      </w:r>
    </w:p>
    <w:p w14:paraId="5AA6AC16" w14:textId="19C5A733" w:rsidR="00761D45" w:rsidRPr="00B42E08" w:rsidRDefault="00761D45" w:rsidP="00BA1F19">
      <w:pPr>
        <w:pStyle w:val="Default"/>
        <w:numPr>
          <w:ilvl w:val="0"/>
          <w:numId w:val="56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e-booki, audiobooki, </w:t>
      </w:r>
    </w:p>
    <w:p w14:paraId="4724AA39" w14:textId="3C0BFDDF" w:rsidR="00761D45" w:rsidRPr="00B42E08" w:rsidRDefault="00761D45" w:rsidP="00BA1F19">
      <w:pPr>
        <w:pStyle w:val="Default"/>
        <w:numPr>
          <w:ilvl w:val="0"/>
          <w:numId w:val="56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filmy (o tematyce żydowskiej, </w:t>
      </w:r>
      <w:proofErr w:type="spellStart"/>
      <w:r w:rsidRPr="00B42E08">
        <w:rPr>
          <w:rFonts w:asciiTheme="minorHAnsi" w:eastAsia="Arial" w:hAnsiTheme="minorHAnsi" w:cstheme="minorHAnsi"/>
          <w:color w:val="auto"/>
        </w:rPr>
        <w:t>Holokaustowej</w:t>
      </w:r>
      <w:proofErr w:type="spellEnd"/>
      <w:r w:rsidRPr="00B42E08">
        <w:rPr>
          <w:rFonts w:asciiTheme="minorHAnsi" w:eastAsia="Arial" w:hAnsiTheme="minorHAnsi" w:cstheme="minorHAnsi"/>
          <w:color w:val="auto"/>
        </w:rPr>
        <w:t xml:space="preserve"> z kraju i ze świata), </w:t>
      </w:r>
    </w:p>
    <w:p w14:paraId="64A32B90" w14:textId="49C2B83B" w:rsidR="00761D45" w:rsidRPr="00B42E08" w:rsidRDefault="00761D45" w:rsidP="00BA1F19">
      <w:pPr>
        <w:pStyle w:val="Default"/>
        <w:numPr>
          <w:ilvl w:val="0"/>
          <w:numId w:val="56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prasa o tematyce żydowskiej,</w:t>
      </w:r>
    </w:p>
    <w:p w14:paraId="62CB31DD" w14:textId="3478419E" w:rsidR="00761D45" w:rsidRPr="00B42E08" w:rsidRDefault="00761D45" w:rsidP="00BA1F19">
      <w:pPr>
        <w:pStyle w:val="Default"/>
        <w:numPr>
          <w:ilvl w:val="0"/>
          <w:numId w:val="56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 xml:space="preserve">pocztówki i widokówki miejsc żydowskich z Warszawy i kraju, </w:t>
      </w:r>
    </w:p>
    <w:p w14:paraId="2844E379" w14:textId="1BBD0DD7" w:rsidR="00761D45" w:rsidRPr="00B42E08" w:rsidRDefault="00761D45" w:rsidP="00BA1F19">
      <w:pPr>
        <w:pStyle w:val="Default"/>
        <w:numPr>
          <w:ilvl w:val="0"/>
          <w:numId w:val="56"/>
        </w:numPr>
        <w:spacing w:line="360" w:lineRule="auto"/>
        <w:rPr>
          <w:rFonts w:asciiTheme="minorHAnsi" w:eastAsia="Arial" w:hAnsiTheme="minorHAnsi" w:cstheme="minorHAnsi"/>
          <w:color w:val="auto"/>
        </w:rPr>
      </w:pPr>
      <w:r w:rsidRPr="00B42E08">
        <w:rPr>
          <w:rFonts w:asciiTheme="minorHAnsi" w:eastAsia="Arial" w:hAnsiTheme="minorHAnsi" w:cstheme="minorHAnsi"/>
          <w:color w:val="auto"/>
        </w:rPr>
        <w:t>kalendarze żydowskie</w:t>
      </w:r>
      <w:r w:rsidR="00BA1F19">
        <w:rPr>
          <w:rFonts w:asciiTheme="minorHAnsi" w:eastAsia="Arial" w:hAnsiTheme="minorHAnsi" w:cstheme="minorHAnsi"/>
          <w:color w:val="auto"/>
        </w:rPr>
        <w:t>.</w:t>
      </w:r>
    </w:p>
    <w:p w14:paraId="61A178B7" w14:textId="77777777" w:rsidR="00761D45" w:rsidRPr="00B42E08" w:rsidRDefault="00761D45" w:rsidP="00876FEF">
      <w:pPr>
        <w:pStyle w:val="Default"/>
        <w:spacing w:before="240" w:line="360" w:lineRule="auto"/>
        <w:rPr>
          <w:rFonts w:asciiTheme="minorHAnsi" w:eastAsia="Arial" w:hAnsiTheme="minorHAnsi" w:cstheme="minorHAnsi"/>
          <w:b/>
          <w:color w:val="auto"/>
        </w:rPr>
      </w:pPr>
      <w:r w:rsidRPr="00B42E08">
        <w:rPr>
          <w:rFonts w:asciiTheme="minorHAnsi" w:eastAsia="Arial" w:hAnsiTheme="minorHAnsi" w:cstheme="minorHAnsi"/>
          <w:b/>
          <w:color w:val="auto"/>
        </w:rPr>
        <w:t xml:space="preserve">W sklepie powinny znajdować się nie tylko nowości wydawnicze, ale również starsze wydania, a na życzenie klienta – książki sprowadzone z zagranicy. </w:t>
      </w:r>
    </w:p>
    <w:p w14:paraId="5C439602" w14:textId="127527DF" w:rsidR="00761D45" w:rsidRPr="00BA1F19" w:rsidRDefault="00761D45" w:rsidP="00BA1F19">
      <w:p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B42E08">
        <w:rPr>
          <w:rFonts w:asciiTheme="minorHAnsi" w:hAnsiTheme="minorHAnsi" w:cstheme="minorHAnsi"/>
          <w:sz w:val="24"/>
          <w:szCs w:val="24"/>
          <w:lang w:val="pl-PL"/>
        </w:rPr>
        <w:t>Książki w sklepie Muzeum powinny być publikacjami rodzimymi i zagranicznymi, a ich dobór sprawić, że sklep uzyska charakter księgarni fachowej, wspierającej realizację głównego zadania Muzeum, którym jest upowszechnianie wiedzy o Żydach.</w:t>
      </w:r>
    </w:p>
    <w:p w14:paraId="27DEA085" w14:textId="45E9403B" w:rsidR="00761D45" w:rsidRPr="00C67A40" w:rsidRDefault="00761D45" w:rsidP="00BA1F19">
      <w:pPr>
        <w:pStyle w:val="Nagwek2"/>
        <w:spacing w:after="240" w:line="360" w:lineRule="auto"/>
        <w:rPr>
          <w:rFonts w:eastAsiaTheme="minorEastAsia"/>
          <w:b/>
          <w:bCs/>
          <w:sz w:val="28"/>
          <w:szCs w:val="28"/>
        </w:rPr>
      </w:pPr>
      <w:r w:rsidRPr="00B42E08">
        <w:br w:type="page"/>
      </w:r>
      <w:r w:rsidR="00ED35E1" w:rsidRPr="00BA1F19">
        <w:rPr>
          <w:b/>
          <w:bCs/>
          <w:color w:val="000000" w:themeColor="text1"/>
          <w:sz w:val="28"/>
          <w:szCs w:val="28"/>
          <w:lang w:val="pl-PL"/>
        </w:rPr>
        <w:lastRenderedPageBreak/>
        <w:t xml:space="preserve">Założenia dla Najemcy – Wytyczne </w:t>
      </w:r>
      <w:r w:rsidR="00C67A40" w:rsidRPr="00BA1F19">
        <w:rPr>
          <w:b/>
          <w:bCs/>
          <w:color w:val="000000" w:themeColor="text1"/>
          <w:sz w:val="28"/>
          <w:szCs w:val="28"/>
          <w:lang w:val="pl-PL"/>
        </w:rPr>
        <w:t>dla sklepu internetowego</w:t>
      </w:r>
    </w:p>
    <w:p w14:paraId="22C0E755" w14:textId="77777777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Najemca będzie zobowiązany do uruchomienia własnym kosztem i staraniem sklepu internetowego, prezentującego szczegółowe informacje na temat wszystkich artykułów dostępnych w sklepie stacjonarnym oraz umożliwiającego ich zakup.</w:t>
      </w:r>
    </w:p>
    <w:p w14:paraId="5D7779A0" w14:textId="77777777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cstheme="minorHAnsi"/>
          <w:sz w:val="24"/>
          <w:szCs w:val="24"/>
        </w:rPr>
        <w:t xml:space="preserve">Najemca będzie obowiązany do uruchomienia sklepu internetowego nie później niż w terminie 2 miesięcy od rozpoczęcia dzielności stacjonarnej. </w:t>
      </w:r>
    </w:p>
    <w:p w14:paraId="4B81CF7B" w14:textId="77777777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cstheme="minorHAnsi"/>
          <w:sz w:val="24"/>
          <w:szCs w:val="24"/>
        </w:rPr>
      </w:pPr>
      <w:r w:rsidRPr="00B42E08">
        <w:rPr>
          <w:rFonts w:cstheme="minorHAnsi"/>
          <w:sz w:val="24"/>
          <w:szCs w:val="24"/>
        </w:rPr>
        <w:t xml:space="preserve">Najemca ponosi odpowiedzialność prawną i finansową za sposób realizacji sprzedaży internetowej, która ma być zgodna z obowiązującym prawem i bezpieczna dla użytkowników – klientów Sklepu internetowego. </w:t>
      </w:r>
    </w:p>
    <w:p w14:paraId="4E019227" w14:textId="4DFAFF36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cstheme="minorHAnsi"/>
          <w:sz w:val="24"/>
          <w:szCs w:val="24"/>
        </w:rPr>
      </w:pPr>
      <w:r w:rsidRPr="00B42E08">
        <w:rPr>
          <w:rFonts w:cstheme="minorHAnsi"/>
          <w:sz w:val="24"/>
          <w:szCs w:val="24"/>
        </w:rPr>
        <w:t>Najemca ponosi odpowiedzialność za przechowywan</w:t>
      </w:r>
      <w:r w:rsidR="00150F91" w:rsidRPr="00B42E08">
        <w:rPr>
          <w:rFonts w:cstheme="minorHAnsi"/>
          <w:sz w:val="24"/>
          <w:szCs w:val="24"/>
        </w:rPr>
        <w:t>i</w:t>
      </w:r>
      <w:r w:rsidRPr="00B42E08">
        <w:rPr>
          <w:rFonts w:cstheme="minorHAnsi"/>
          <w:sz w:val="24"/>
          <w:szCs w:val="24"/>
        </w:rPr>
        <w:t>e dan</w:t>
      </w:r>
      <w:r w:rsidR="00150F91" w:rsidRPr="00B42E08">
        <w:rPr>
          <w:rFonts w:cstheme="minorHAnsi"/>
          <w:sz w:val="24"/>
          <w:szCs w:val="24"/>
        </w:rPr>
        <w:t>ych</w:t>
      </w:r>
      <w:r w:rsidRPr="00B42E08">
        <w:rPr>
          <w:rFonts w:cstheme="minorHAnsi"/>
          <w:sz w:val="24"/>
          <w:szCs w:val="24"/>
        </w:rPr>
        <w:t xml:space="preserve"> klientów oraz inn</w:t>
      </w:r>
      <w:r w:rsidR="00150F91" w:rsidRPr="00B42E08">
        <w:rPr>
          <w:rFonts w:cstheme="minorHAnsi"/>
          <w:sz w:val="24"/>
          <w:szCs w:val="24"/>
        </w:rPr>
        <w:t>ych</w:t>
      </w:r>
      <w:r w:rsidRPr="00B42E08">
        <w:rPr>
          <w:rFonts w:cstheme="minorHAnsi"/>
          <w:sz w:val="24"/>
          <w:szCs w:val="24"/>
        </w:rPr>
        <w:t xml:space="preserve"> dan</w:t>
      </w:r>
      <w:r w:rsidR="00150F91" w:rsidRPr="00B42E08">
        <w:rPr>
          <w:rFonts w:cstheme="minorHAnsi"/>
          <w:sz w:val="24"/>
          <w:szCs w:val="24"/>
        </w:rPr>
        <w:t>ych</w:t>
      </w:r>
      <w:r w:rsidRPr="00B42E08">
        <w:rPr>
          <w:rFonts w:cstheme="minorHAnsi"/>
          <w:sz w:val="24"/>
          <w:szCs w:val="24"/>
        </w:rPr>
        <w:t xml:space="preserve"> wrażliw</w:t>
      </w:r>
      <w:r w:rsidR="00150F91" w:rsidRPr="00B42E08">
        <w:rPr>
          <w:rFonts w:cstheme="minorHAnsi"/>
          <w:sz w:val="24"/>
          <w:szCs w:val="24"/>
        </w:rPr>
        <w:t xml:space="preserve">ych </w:t>
      </w:r>
      <w:r w:rsidR="0058132F" w:rsidRPr="00B42E08">
        <w:rPr>
          <w:rFonts w:cstheme="minorHAnsi"/>
          <w:sz w:val="24"/>
          <w:szCs w:val="24"/>
        </w:rPr>
        <w:t>–</w:t>
      </w:r>
      <w:r w:rsidRPr="00B42E08">
        <w:rPr>
          <w:rFonts w:cstheme="minorHAnsi"/>
          <w:sz w:val="24"/>
          <w:szCs w:val="24"/>
        </w:rPr>
        <w:t xml:space="preserve"> </w:t>
      </w:r>
      <w:r w:rsidR="0058132F" w:rsidRPr="00B42E08">
        <w:rPr>
          <w:rFonts w:cstheme="minorHAnsi"/>
          <w:sz w:val="24"/>
          <w:szCs w:val="24"/>
        </w:rPr>
        <w:t xml:space="preserve">sposób i zakres przechowywania </w:t>
      </w:r>
      <w:r w:rsidRPr="00B42E08">
        <w:rPr>
          <w:rFonts w:cstheme="minorHAnsi"/>
          <w:sz w:val="24"/>
          <w:szCs w:val="24"/>
        </w:rPr>
        <w:t>mus</w:t>
      </w:r>
      <w:r w:rsidR="0058132F" w:rsidRPr="00B42E08">
        <w:rPr>
          <w:rFonts w:cstheme="minorHAnsi"/>
          <w:sz w:val="24"/>
          <w:szCs w:val="24"/>
        </w:rPr>
        <w:t>i</w:t>
      </w:r>
      <w:r w:rsidRPr="00B42E08">
        <w:rPr>
          <w:rFonts w:cstheme="minorHAnsi"/>
          <w:sz w:val="24"/>
          <w:szCs w:val="24"/>
        </w:rPr>
        <w:t xml:space="preserve"> spełniać wymogi Głównego Inspektoratu Ochrony Danych Osobowych. </w:t>
      </w:r>
    </w:p>
    <w:p w14:paraId="2D50AE4C" w14:textId="07F643C1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cstheme="minorHAnsi"/>
          <w:sz w:val="24"/>
          <w:szCs w:val="24"/>
        </w:rPr>
      </w:pPr>
      <w:r w:rsidRPr="00B42E08">
        <w:rPr>
          <w:rFonts w:cstheme="minorHAnsi"/>
          <w:sz w:val="24"/>
          <w:szCs w:val="24"/>
        </w:rPr>
        <w:t>System płatności musi pozwalać na wykonywanie płatności ze wszystkich polskich banków, dodatkowo umożliwiać płacenia kartą kredytową przez obcokrajowców</w:t>
      </w:r>
      <w:r w:rsidR="00001E62" w:rsidRPr="00B42E08">
        <w:rPr>
          <w:rFonts w:cstheme="minorHAnsi"/>
          <w:sz w:val="24"/>
          <w:szCs w:val="24"/>
        </w:rPr>
        <w:t>.</w:t>
      </w:r>
      <w:r w:rsidRPr="00B42E08">
        <w:rPr>
          <w:rFonts w:cstheme="minorHAnsi"/>
          <w:sz w:val="24"/>
          <w:szCs w:val="24"/>
        </w:rPr>
        <w:t xml:space="preserve"> </w:t>
      </w:r>
    </w:p>
    <w:p w14:paraId="0B3B6212" w14:textId="77777777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cstheme="minorHAnsi"/>
          <w:sz w:val="24"/>
          <w:szCs w:val="24"/>
        </w:rPr>
      </w:pPr>
      <w:r w:rsidRPr="00B42E08">
        <w:rPr>
          <w:rFonts w:cstheme="minorHAnsi"/>
          <w:sz w:val="24"/>
          <w:szCs w:val="24"/>
        </w:rPr>
        <w:t xml:space="preserve">Strona sklepu musi mieć dwie wersje językowe: polską i angielską. Wszelkie treści powinny pojawiać się na obu (wszystkich) wersjach językowych sklepu równocześnie. </w:t>
      </w:r>
    </w:p>
    <w:p w14:paraId="002DF275" w14:textId="77777777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cstheme="minorHAnsi"/>
          <w:sz w:val="24"/>
          <w:szCs w:val="24"/>
        </w:rPr>
      </w:pPr>
      <w:r w:rsidRPr="00B42E08">
        <w:rPr>
          <w:rFonts w:cstheme="minorHAnsi"/>
          <w:sz w:val="24"/>
          <w:szCs w:val="24"/>
        </w:rPr>
        <w:t xml:space="preserve">Sklep internetowy musi zostać wykonany w wersji przyjaznej urządzeniom przenośnym typu tablet i smartfon. </w:t>
      </w:r>
    </w:p>
    <w:p w14:paraId="7DBB2288" w14:textId="77777777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cstheme="minorHAnsi"/>
          <w:sz w:val="24"/>
          <w:szCs w:val="24"/>
        </w:rPr>
      </w:pPr>
      <w:r w:rsidRPr="00B42E08">
        <w:rPr>
          <w:rFonts w:cstheme="minorHAnsi"/>
          <w:sz w:val="24"/>
          <w:szCs w:val="24"/>
        </w:rPr>
        <w:t xml:space="preserve">Oprawa graficzna sklepu powinna być spójna z oprawą graficzną strony </w:t>
      </w:r>
      <w:hyperlink r:id="rId7" w:history="1">
        <w:r w:rsidRPr="00B42E08">
          <w:rPr>
            <w:rFonts w:cstheme="minorHAnsi"/>
            <w:sz w:val="24"/>
            <w:szCs w:val="24"/>
          </w:rPr>
          <w:t>www.polin.pl</w:t>
        </w:r>
      </w:hyperlink>
      <w:r w:rsidRPr="00B42E08">
        <w:rPr>
          <w:rFonts w:cstheme="minorHAnsi"/>
          <w:sz w:val="24"/>
          <w:szCs w:val="24"/>
        </w:rPr>
        <w:t xml:space="preserve"> na tyle, na ile jest to możliwe przy zachowaniu własnej identyfikacji wizualnej Najemcy.</w:t>
      </w:r>
    </w:p>
    <w:p w14:paraId="0F28A5CF" w14:textId="77777777" w:rsidR="00761D45" w:rsidRPr="00B42E08" w:rsidRDefault="00761D45" w:rsidP="001D05CC">
      <w:pPr>
        <w:pStyle w:val="Akapitzlist"/>
        <w:numPr>
          <w:ilvl w:val="0"/>
          <w:numId w:val="24"/>
        </w:numPr>
        <w:spacing w:line="360" w:lineRule="auto"/>
        <w:ind w:left="426"/>
        <w:rPr>
          <w:rFonts w:cstheme="minorHAnsi"/>
          <w:sz w:val="24"/>
          <w:szCs w:val="24"/>
        </w:rPr>
      </w:pPr>
      <w:r w:rsidRPr="00B42E08">
        <w:rPr>
          <w:rFonts w:cstheme="minorHAnsi"/>
          <w:sz w:val="24"/>
          <w:szCs w:val="24"/>
        </w:rPr>
        <w:t>Artykuły powinny zostać sfotografowane w miarę możliwości na jednolitym tle (najlepiej białym), treść opisów dotycząca produktów oznakowanych logo Muzeum powinna być uzgodniona z Muzeum.</w:t>
      </w:r>
    </w:p>
    <w:p w14:paraId="256DB55E" w14:textId="77777777" w:rsidR="00761D45" w:rsidRPr="00B42E08" w:rsidRDefault="00761D45" w:rsidP="001D05CC">
      <w:pPr>
        <w:spacing w:line="360" w:lineRule="auto"/>
        <w:rPr>
          <w:rFonts w:asciiTheme="minorHAnsi" w:eastAsiaTheme="minorEastAsia" w:hAnsiTheme="minorHAnsi" w:cstheme="minorHAnsi"/>
          <w:color w:val="000000"/>
          <w:sz w:val="24"/>
          <w:szCs w:val="24"/>
          <w:lang w:val="pl-PL"/>
        </w:rPr>
      </w:pPr>
      <w:r w:rsidRPr="00B42E08">
        <w:rPr>
          <w:rFonts w:asciiTheme="minorHAnsi" w:hAnsiTheme="minorHAnsi" w:cstheme="minorHAnsi"/>
          <w:sz w:val="24"/>
          <w:szCs w:val="24"/>
        </w:rPr>
        <w:br w:type="page"/>
      </w:r>
    </w:p>
    <w:p w14:paraId="7CD38F57" w14:textId="5AD3BAF0" w:rsidR="00761D45" w:rsidRPr="00BA1F19" w:rsidRDefault="00B308DC" w:rsidP="00B308DC">
      <w:pPr>
        <w:pStyle w:val="Nagwek2"/>
        <w:spacing w:after="360"/>
        <w:rPr>
          <w:b/>
          <w:bCs/>
          <w:color w:val="000000" w:themeColor="text1"/>
          <w:sz w:val="28"/>
          <w:szCs w:val="28"/>
          <w:lang w:val="pl-PL"/>
        </w:rPr>
      </w:pPr>
      <w:r w:rsidRPr="00BA1F19">
        <w:rPr>
          <w:b/>
          <w:bCs/>
          <w:color w:val="000000" w:themeColor="text1"/>
          <w:sz w:val="28"/>
          <w:szCs w:val="28"/>
          <w:lang w:val="pl-PL"/>
        </w:rPr>
        <w:lastRenderedPageBreak/>
        <w:t>Założenia dla Najemcy - Licencja</w:t>
      </w:r>
    </w:p>
    <w:p w14:paraId="5B2F05A6" w14:textId="77777777" w:rsidR="00761D45" w:rsidRPr="00B42E08" w:rsidRDefault="00761D45" w:rsidP="001D05CC">
      <w:pPr>
        <w:pStyle w:val="Default"/>
        <w:numPr>
          <w:ilvl w:val="0"/>
          <w:numId w:val="28"/>
        </w:numPr>
        <w:spacing w:line="360" w:lineRule="auto"/>
        <w:rPr>
          <w:rFonts w:asciiTheme="minorHAnsi" w:hAnsiTheme="minorHAnsi" w:cstheme="minorHAnsi"/>
          <w:b/>
          <w:bCs/>
        </w:rPr>
      </w:pPr>
      <w:r w:rsidRPr="00B42E08">
        <w:rPr>
          <w:rFonts w:asciiTheme="minorHAnsi" w:hAnsiTheme="minorHAnsi" w:cstheme="minorHAnsi"/>
          <w:b/>
          <w:bCs/>
        </w:rPr>
        <w:t xml:space="preserve">Ze względu na oznakowanie produktów wyróżniamy: </w:t>
      </w:r>
    </w:p>
    <w:p w14:paraId="35F893B0" w14:textId="77777777" w:rsidR="00761D45" w:rsidRPr="00B42E08" w:rsidRDefault="00761D45" w:rsidP="001D05CC">
      <w:pPr>
        <w:pStyle w:val="Default"/>
        <w:numPr>
          <w:ilvl w:val="2"/>
          <w:numId w:val="8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Produkty nieoznakowane logo Muzeum</w:t>
      </w:r>
    </w:p>
    <w:p w14:paraId="1C468D5F" w14:textId="77777777" w:rsidR="00761D45" w:rsidRPr="00B42E08" w:rsidRDefault="00761D45" w:rsidP="001D05CC">
      <w:pPr>
        <w:pStyle w:val="Default"/>
        <w:numPr>
          <w:ilvl w:val="2"/>
          <w:numId w:val="8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Produkty oznakowane logo Muzeum, w tym produkty oznakowane wzorami/ fotografiami/ reprodukcjami zawierającymi elementy wystaw, gdzie prawa do wzorów, fotografii i reprodukcji należą do Muzeum</w:t>
      </w:r>
    </w:p>
    <w:p w14:paraId="59AA4575" w14:textId="77777777" w:rsidR="00761D45" w:rsidRPr="00B42E08" w:rsidRDefault="00761D45" w:rsidP="001D05CC">
      <w:pPr>
        <w:pStyle w:val="Default"/>
        <w:numPr>
          <w:ilvl w:val="2"/>
          <w:numId w:val="8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Produkty oznakowane wzorami/ fotografiami/ reprodukcjami zawierającymi elementy wystaw, gdzie prawa do wzorów, fotografii i reprodukcji nie należą do Muzeum</w:t>
      </w:r>
    </w:p>
    <w:p w14:paraId="7437926F" w14:textId="77777777" w:rsidR="00761D45" w:rsidRPr="00B42E08" w:rsidRDefault="00761D45" w:rsidP="001D05CC">
      <w:pPr>
        <w:pStyle w:val="Default"/>
        <w:numPr>
          <w:ilvl w:val="0"/>
          <w:numId w:val="28"/>
        </w:numPr>
        <w:tabs>
          <w:tab w:val="left" w:pos="633"/>
        </w:tabs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Najemca każdorazowo przed wprowadzeniem do sprzedaży musi uzyskać pisemną zgodę Muzeum na umieszczenie logo Muzeum na danym produkcie oraz zgodę na umieszczenie wzoru/ fotografii/ reprodukcji, do których prawa należą do Muzeum</w:t>
      </w:r>
    </w:p>
    <w:p w14:paraId="12F9B2F9" w14:textId="77777777" w:rsidR="00761D45" w:rsidRPr="00B42E08" w:rsidRDefault="00761D45" w:rsidP="001D05CC">
      <w:pPr>
        <w:pStyle w:val="Default"/>
        <w:numPr>
          <w:ilvl w:val="0"/>
          <w:numId w:val="28"/>
        </w:numPr>
        <w:tabs>
          <w:tab w:val="left" w:pos="633"/>
        </w:tabs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Najemca każdorazowo przed wprowadzeniem do sprzedaży musi uzyskać od osób/ instytucji trzecich, własnym kosztem i staraniem, prawo wykorzystania komercyjnego wzoru/ fotografii/ reprodukcji. Muzeum nie ponosi odpowiedzialności z tytułu naruszenia praw autorskich i dóbr osobistych osób trzecich, od których licencja była pozyskiwana</w:t>
      </w:r>
    </w:p>
    <w:p w14:paraId="1053BDAC" w14:textId="0A63D8B6" w:rsidR="00761D45" w:rsidRPr="00B42E08" w:rsidRDefault="00761D45" w:rsidP="001D05CC">
      <w:pPr>
        <w:pStyle w:val="Default"/>
        <w:numPr>
          <w:ilvl w:val="0"/>
          <w:numId w:val="28"/>
        </w:numPr>
        <w:tabs>
          <w:tab w:val="left" w:pos="633"/>
        </w:tabs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Muzeum zobowiązuje się do udostępnienia Najemcy logo Muzeum</w:t>
      </w:r>
      <w:r w:rsidR="00EE505A" w:rsidRPr="00B42E08">
        <w:rPr>
          <w:rFonts w:asciiTheme="minorHAnsi" w:hAnsiTheme="minorHAnsi" w:cstheme="minorHAnsi"/>
        </w:rPr>
        <w:t>, logotypu</w:t>
      </w:r>
      <w:r w:rsidRPr="00B42E08">
        <w:rPr>
          <w:rFonts w:asciiTheme="minorHAnsi" w:hAnsiTheme="minorHAnsi" w:cstheme="minorHAnsi"/>
        </w:rPr>
        <w:t>, Księgi Znaku, fotografii cyfrowych, reprodukcji, zdjęć elementów wystawy, do których Muzeum posiada prawa do użytku objętego tematem Konkursu.</w:t>
      </w:r>
    </w:p>
    <w:p w14:paraId="77A02056" w14:textId="77777777" w:rsidR="00761D45" w:rsidRPr="00B42E08" w:rsidRDefault="00761D45" w:rsidP="001D05CC">
      <w:pPr>
        <w:pStyle w:val="Default"/>
        <w:numPr>
          <w:ilvl w:val="0"/>
          <w:numId w:val="28"/>
        </w:numPr>
        <w:spacing w:line="360" w:lineRule="auto"/>
        <w:ind w:left="426"/>
        <w:rPr>
          <w:rFonts w:asciiTheme="minorHAnsi" w:hAnsiTheme="minorHAnsi" w:cstheme="minorHAnsi"/>
          <w:color w:val="auto"/>
        </w:rPr>
      </w:pPr>
      <w:r w:rsidRPr="00B42E08">
        <w:rPr>
          <w:rFonts w:asciiTheme="minorHAnsi" w:hAnsiTheme="minorHAnsi" w:cstheme="minorHAnsi"/>
          <w:color w:val="auto"/>
        </w:rPr>
        <w:t xml:space="preserve">Muzeum będzie pobierać opłatę licencyjną w wysokości 10% od obrotu netto ze sprzedaży towarów z logo Muzeum, zarówno w sklepie stacjonarnym, jak i internetowym. </w:t>
      </w:r>
      <w:r w:rsidRPr="00B42E08">
        <w:rPr>
          <w:rFonts w:asciiTheme="minorHAnsi" w:hAnsiTheme="minorHAnsi" w:cstheme="minorHAnsi"/>
        </w:rPr>
        <w:t xml:space="preserve">Muzeum zastrzega prawo do wycofania zgody na umieszczenie logo w przypadkach, gdy produkt różni się od akceptowanego projektu, prototypu, opisu, nie spełnia standardów jakości, zawiera błędy w opisach lub oznaczeniach, wywołuje kontrowersje lub protesty, wskazujące na konflikt z charakterem i misją Muzeum. </w:t>
      </w:r>
    </w:p>
    <w:p w14:paraId="55056D91" w14:textId="2661B00B" w:rsidR="00761D45" w:rsidRPr="00B42E08" w:rsidRDefault="00761D45" w:rsidP="001D05CC">
      <w:pPr>
        <w:pStyle w:val="Default"/>
        <w:numPr>
          <w:ilvl w:val="0"/>
          <w:numId w:val="28"/>
        </w:numPr>
        <w:spacing w:line="360" w:lineRule="auto"/>
        <w:ind w:left="426"/>
        <w:rPr>
          <w:rFonts w:asciiTheme="minorHAnsi" w:hAnsiTheme="minorHAnsi" w:cstheme="minorHAnsi"/>
          <w:color w:val="auto"/>
        </w:rPr>
      </w:pPr>
      <w:r w:rsidRPr="00B42E08">
        <w:rPr>
          <w:rFonts w:asciiTheme="minorHAnsi" w:hAnsiTheme="minorHAnsi" w:cstheme="minorHAnsi"/>
        </w:rPr>
        <w:t xml:space="preserve">Towary na wzorach z elementami wystaw muszą być opatrzone logo </w:t>
      </w:r>
      <w:r w:rsidR="00D65D2E" w:rsidRPr="00B42E08">
        <w:rPr>
          <w:rFonts w:asciiTheme="minorHAnsi" w:hAnsiTheme="minorHAnsi" w:cstheme="minorHAnsi"/>
        </w:rPr>
        <w:t xml:space="preserve">lub logotypem </w:t>
      </w:r>
      <w:r w:rsidRPr="00B42E08">
        <w:rPr>
          <w:rFonts w:asciiTheme="minorHAnsi" w:hAnsiTheme="minorHAnsi" w:cstheme="minorHAnsi"/>
        </w:rPr>
        <w:t>Muzeum.</w:t>
      </w:r>
    </w:p>
    <w:p w14:paraId="4C4923EC" w14:textId="77777777" w:rsidR="00761D45" w:rsidRPr="00B42E08" w:rsidRDefault="00761D45" w:rsidP="001D05CC">
      <w:pPr>
        <w:pStyle w:val="Default"/>
        <w:numPr>
          <w:ilvl w:val="0"/>
          <w:numId w:val="28"/>
        </w:numPr>
        <w:spacing w:line="360" w:lineRule="auto"/>
        <w:ind w:left="426"/>
        <w:rPr>
          <w:rFonts w:asciiTheme="minorHAnsi" w:hAnsiTheme="minorHAnsi" w:cstheme="minorHAnsi"/>
          <w:color w:val="auto"/>
        </w:rPr>
      </w:pPr>
      <w:r w:rsidRPr="00B42E08">
        <w:rPr>
          <w:rFonts w:asciiTheme="minorHAnsi" w:hAnsiTheme="minorHAnsi" w:cstheme="minorHAnsi"/>
        </w:rPr>
        <w:lastRenderedPageBreak/>
        <w:t>Objęte licencją wzory udostępnione Producentowi nie mają ograniczeń czasowych.</w:t>
      </w:r>
    </w:p>
    <w:p w14:paraId="2CF4032E" w14:textId="77777777" w:rsidR="00761D45" w:rsidRPr="00B42E08" w:rsidRDefault="00761D45" w:rsidP="001D05CC">
      <w:pPr>
        <w:pStyle w:val="Default"/>
        <w:numPr>
          <w:ilvl w:val="0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Muzeum udziela Producentowi upoważnienia licencyjnego do korzystania z logo Muzeum w zakresie ograniczonym do realizacji postanowień Regulaminu Konkursu i Umowy. Muzeum wyraża zgodę na posługiwanie się przez Producenta logo w zakresie objętym Umową i w sposób uwzględniający obowiązujące w Muzeum zasady identyfikacji wizualnej.</w:t>
      </w:r>
    </w:p>
    <w:p w14:paraId="282ACB83" w14:textId="77777777" w:rsidR="00761D45" w:rsidRPr="00B42E08" w:rsidRDefault="00761D45" w:rsidP="001D05CC">
      <w:pPr>
        <w:pStyle w:val="Default"/>
        <w:numPr>
          <w:ilvl w:val="0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zobowiązuje się płacić Muzeum raz na kwartał opłatę licencyjną w wysokości 10% od wartości obrotu netto z tytułu sprzedaży produktów oznaczonych logotypem lub logo Muzeum w danym kwartale kalendarzowym. </w:t>
      </w:r>
    </w:p>
    <w:p w14:paraId="0CCE253A" w14:textId="77777777" w:rsidR="00761D45" w:rsidRPr="00B42E08" w:rsidRDefault="00761D45" w:rsidP="001D05CC">
      <w:pPr>
        <w:pStyle w:val="Default"/>
        <w:numPr>
          <w:ilvl w:val="0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Opłata licencyjna będzie naliczana w oparciu o kwartalny raport sprzedaży, który będzie dostarczany Muzeum w terminie 7 dni od dnia zakończenia kwartału. </w:t>
      </w:r>
    </w:p>
    <w:p w14:paraId="5B76E43B" w14:textId="77777777" w:rsidR="00761D45" w:rsidRPr="00B42E08" w:rsidRDefault="00761D45" w:rsidP="001D05CC">
      <w:pPr>
        <w:pStyle w:val="Default"/>
        <w:numPr>
          <w:ilvl w:val="0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Faktura za opłatę licencyjna będzie wystawiona do 15 dnia miesiąca stanowiącego pierwszy miesiąc następnego kwartału, a opłata licencyjna będzie płatna w terminie 14 dni od dnia doręczenia faktury na rachunek bankowy Muzeum wskazany na fakturze.</w:t>
      </w:r>
    </w:p>
    <w:p w14:paraId="7B1E942E" w14:textId="097B3BEE" w:rsidR="00755C8F" w:rsidRDefault="00761D45" w:rsidP="001D05CC">
      <w:pPr>
        <w:pStyle w:val="Default"/>
        <w:numPr>
          <w:ilvl w:val="0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 wypadku, gdy pierwsze lub ostatnie rozliczenie nie będzie obejmowało pełnego kwartału, opłata licencyjna zostanie rozliczona za ten okres. </w:t>
      </w:r>
    </w:p>
    <w:p w14:paraId="57B6C897" w14:textId="77777777" w:rsidR="00755C8F" w:rsidRDefault="00755C8F">
      <w:pPr>
        <w:spacing w:after="160" w:line="259" w:lineRule="auto"/>
        <w:rPr>
          <w:rFonts w:asciiTheme="minorHAnsi" w:eastAsiaTheme="minorEastAsia" w:hAnsiTheme="minorHAnsi" w:cstheme="minorHAnsi"/>
          <w:color w:val="000000"/>
          <w:sz w:val="24"/>
          <w:szCs w:val="24"/>
          <w:lang w:val="pl-PL"/>
        </w:rPr>
      </w:pPr>
      <w:r>
        <w:rPr>
          <w:rFonts w:asciiTheme="minorHAnsi" w:hAnsiTheme="minorHAnsi" w:cstheme="minorHAnsi"/>
        </w:rPr>
        <w:br w:type="page"/>
      </w:r>
    </w:p>
    <w:p w14:paraId="0F262F28" w14:textId="1119CF74" w:rsidR="00761D45" w:rsidRPr="00BA1F19" w:rsidRDefault="00761D45" w:rsidP="00BA1F19">
      <w:pPr>
        <w:pStyle w:val="Nagwek2"/>
        <w:spacing w:before="360" w:after="360" w:line="360" w:lineRule="auto"/>
        <w:rPr>
          <w:b/>
          <w:bCs/>
          <w:color w:val="000000" w:themeColor="text1"/>
          <w:sz w:val="28"/>
          <w:szCs w:val="28"/>
        </w:rPr>
      </w:pPr>
      <w:r w:rsidRPr="00BA1F19">
        <w:rPr>
          <w:b/>
          <w:bCs/>
          <w:color w:val="000000" w:themeColor="text1"/>
          <w:sz w:val="28"/>
          <w:szCs w:val="28"/>
        </w:rPr>
        <w:lastRenderedPageBreak/>
        <w:t>Z</w:t>
      </w:r>
      <w:proofErr w:type="spellStart"/>
      <w:r w:rsidR="00755C8F" w:rsidRPr="00BA1F19">
        <w:rPr>
          <w:b/>
          <w:bCs/>
          <w:color w:val="000000" w:themeColor="text1"/>
          <w:sz w:val="28"/>
          <w:szCs w:val="28"/>
          <w:lang w:val="pl-PL"/>
        </w:rPr>
        <w:t>ałożenia</w:t>
      </w:r>
      <w:proofErr w:type="spellEnd"/>
      <w:r w:rsidR="00B308DC" w:rsidRPr="00BA1F19">
        <w:rPr>
          <w:b/>
          <w:bCs/>
          <w:color w:val="000000" w:themeColor="text1"/>
          <w:sz w:val="28"/>
          <w:szCs w:val="28"/>
          <w:lang w:val="pl-PL"/>
        </w:rPr>
        <w:t xml:space="preserve"> dla Najemcy – Produkcja, projektowanie, produkowanie i sprzedaż pamiątek i gadżetów</w:t>
      </w:r>
    </w:p>
    <w:p w14:paraId="5CEC1B2A" w14:textId="77777777" w:rsidR="00761D45" w:rsidRPr="00B42E08" w:rsidRDefault="00761D45" w:rsidP="001D05CC">
      <w:pPr>
        <w:spacing w:line="360" w:lineRule="auto"/>
        <w:jc w:val="both"/>
        <w:rPr>
          <w:rFonts w:asciiTheme="minorHAnsi" w:eastAsiaTheme="minorEastAsia" w:hAnsiTheme="minorHAnsi" w:cstheme="minorHAnsi"/>
          <w:color w:val="000000"/>
          <w:sz w:val="24"/>
          <w:szCs w:val="24"/>
          <w:lang w:val="pl-PL"/>
        </w:rPr>
      </w:pPr>
      <w:r w:rsidRPr="00B42E08">
        <w:rPr>
          <w:rFonts w:asciiTheme="minorHAnsi" w:eastAsiaTheme="minorEastAsia" w:hAnsiTheme="minorHAnsi" w:cstheme="minorHAnsi"/>
          <w:color w:val="000000"/>
          <w:sz w:val="24"/>
          <w:szCs w:val="24"/>
          <w:lang w:val="pl-PL"/>
        </w:rPr>
        <w:t>W okresie obowiązywania Umowy Najemca zobowiązuje się do:</w:t>
      </w:r>
    </w:p>
    <w:p w14:paraId="37372230" w14:textId="77777777" w:rsidR="00761D45" w:rsidRPr="00B42E08" w:rsidRDefault="00761D45" w:rsidP="001D05CC">
      <w:pPr>
        <w:pStyle w:val="Default"/>
        <w:numPr>
          <w:ilvl w:val="1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Projektowania, produkcji oraz dystrybucji i obsługi sprzedaży Produktów na koszt własny oraz na własną odpowiedzialność, w tym linii towarów towarzyszących wystawom czasowym</w:t>
      </w:r>
    </w:p>
    <w:p w14:paraId="592764C0" w14:textId="77777777" w:rsidR="00761D45" w:rsidRPr="00B42E08" w:rsidRDefault="00761D45" w:rsidP="001D05CC">
      <w:pPr>
        <w:pStyle w:val="Default"/>
        <w:numPr>
          <w:ilvl w:val="1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Każdorazowo pozyskania akceptacji Muzeum dla projektu, produkcji i wprowadzenia Produktu do obrotu</w:t>
      </w:r>
    </w:p>
    <w:p w14:paraId="5751075E" w14:textId="07D63F3F" w:rsidR="00761D45" w:rsidRPr="00B42E08" w:rsidRDefault="00761D45" w:rsidP="001D05CC">
      <w:pPr>
        <w:pStyle w:val="Default"/>
        <w:numPr>
          <w:ilvl w:val="1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Każdorazowo przekazania Muzeum bezpłatnie po 2 sztuki każdego wyprodukowanego wzoru dla celów dokumentacji</w:t>
      </w:r>
      <w:r w:rsidR="00143764" w:rsidRPr="00B42E08">
        <w:rPr>
          <w:rFonts w:asciiTheme="minorHAnsi" w:hAnsiTheme="minorHAnsi" w:cstheme="minorHAnsi"/>
        </w:rPr>
        <w:t>. Dotyczy wyłącznie wzorów z logo Muzeum</w:t>
      </w:r>
    </w:p>
    <w:p w14:paraId="5A949762" w14:textId="6D209E1F" w:rsidR="00761D45" w:rsidRPr="00B42E08" w:rsidRDefault="00761D45" w:rsidP="001D05CC">
      <w:pPr>
        <w:pStyle w:val="Default"/>
        <w:numPr>
          <w:ilvl w:val="1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Utrzymywania w okresie najmu stałej sprzedaży i dostępności Produktów w dystrybucji w sklepie stacjonarnym i internetowym</w:t>
      </w:r>
    </w:p>
    <w:p w14:paraId="11807C92" w14:textId="77777777" w:rsidR="00761D45" w:rsidRPr="00B42E08" w:rsidRDefault="00761D45" w:rsidP="001D05CC">
      <w:pPr>
        <w:pStyle w:val="Default"/>
        <w:numPr>
          <w:ilvl w:val="1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Prowadzenia uzgodnionej z Muzeum akcji promocyjnej Produktów, jak również do stałego prowadzenia strony internetowej  promującej i popularyzującej sprzedaż.</w:t>
      </w:r>
    </w:p>
    <w:p w14:paraId="0937AB15" w14:textId="77777777" w:rsidR="00761D45" w:rsidRPr="00B42E08" w:rsidRDefault="00761D45" w:rsidP="001D05CC">
      <w:pPr>
        <w:pStyle w:val="Default"/>
        <w:numPr>
          <w:ilvl w:val="1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 zakres Produktów wchodzić będą między innymi produkty wykorzystujące reprodukcje i fotografie elementów wystawy, jako element formy zewnętrznej, np.: </w:t>
      </w:r>
    </w:p>
    <w:p w14:paraId="37AB0764" w14:textId="77777777" w:rsidR="00761D45" w:rsidRPr="00B42E08" w:rsidRDefault="00761D45" w:rsidP="001D05CC">
      <w:pPr>
        <w:pStyle w:val="Default"/>
        <w:numPr>
          <w:ilvl w:val="1"/>
          <w:numId w:val="22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Judaika</w:t>
      </w:r>
    </w:p>
    <w:p w14:paraId="37475B19" w14:textId="0BA9CC78" w:rsidR="00761D45" w:rsidRPr="00B42E08" w:rsidRDefault="00761D45" w:rsidP="001D05CC">
      <w:pPr>
        <w:pStyle w:val="Default"/>
        <w:numPr>
          <w:ilvl w:val="1"/>
          <w:numId w:val="22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Handlowe materiały promujące Muzeum oraz wystawy (stałą i czasowe), takie jak: kubki, smycze, </w:t>
      </w:r>
      <w:proofErr w:type="spellStart"/>
      <w:r w:rsidRPr="00B42E08">
        <w:rPr>
          <w:rFonts w:asciiTheme="minorHAnsi" w:hAnsiTheme="minorHAnsi" w:cstheme="minorHAnsi"/>
        </w:rPr>
        <w:t>pendrivy</w:t>
      </w:r>
      <w:proofErr w:type="spellEnd"/>
      <w:r w:rsidRPr="00B42E08">
        <w:rPr>
          <w:rFonts w:asciiTheme="minorHAnsi" w:hAnsiTheme="minorHAnsi" w:cstheme="minorHAnsi"/>
        </w:rPr>
        <w:t xml:space="preserve">, magnesy, ołówki, długopisy, gumki szkolne, zakładki, zakładki magnetyczne, pocztówki, piórniki, artykuły piśmiennicze i papiernicze, torby, notesy, zeszyty, zabawki, puzzle, przypinki, biżuterię, artykuły odzieżowe i galanteryjne (w tym skarpety, apaszki), zawieszki biżuteryjne, spinki do mankietów, broszki, parasole, etui na okulary, pudełka kartonowe z zamknięciem magnetycznym, pudełka metalowe na miętówki, ściereczki z </w:t>
      </w:r>
      <w:proofErr w:type="spellStart"/>
      <w:r w:rsidRPr="00B42E08">
        <w:rPr>
          <w:rFonts w:asciiTheme="minorHAnsi" w:hAnsiTheme="minorHAnsi" w:cstheme="minorHAnsi"/>
        </w:rPr>
        <w:t>mikrofibry</w:t>
      </w:r>
      <w:proofErr w:type="spellEnd"/>
      <w:r w:rsidRPr="00B42E08">
        <w:rPr>
          <w:rFonts w:asciiTheme="minorHAnsi" w:hAnsiTheme="minorHAnsi" w:cstheme="minorHAnsi"/>
        </w:rPr>
        <w:t xml:space="preserve">, </w:t>
      </w:r>
      <w:r w:rsidR="00143764" w:rsidRPr="00B42E08">
        <w:rPr>
          <w:rFonts w:asciiTheme="minorHAnsi" w:hAnsiTheme="minorHAnsi" w:cstheme="minorHAnsi"/>
        </w:rPr>
        <w:t xml:space="preserve">pudełka </w:t>
      </w:r>
      <w:r w:rsidRPr="00B42E08">
        <w:rPr>
          <w:rFonts w:asciiTheme="minorHAnsi" w:hAnsiTheme="minorHAnsi" w:cstheme="minorHAnsi"/>
        </w:rPr>
        <w:t xml:space="preserve">na produkty żywnościowe, </w:t>
      </w:r>
    </w:p>
    <w:p w14:paraId="477EAAC5" w14:textId="77777777" w:rsidR="00761D45" w:rsidRPr="00B42E08" w:rsidRDefault="00761D45" w:rsidP="001D05CC">
      <w:pPr>
        <w:pStyle w:val="Default"/>
        <w:numPr>
          <w:ilvl w:val="1"/>
          <w:numId w:val="22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Pozycje książkowe i albumowe, w tym:</w:t>
      </w:r>
    </w:p>
    <w:p w14:paraId="616A157D" w14:textId="77777777" w:rsidR="00761D45" w:rsidRPr="00B42E08" w:rsidRDefault="00761D45" w:rsidP="001D05CC">
      <w:pPr>
        <w:pStyle w:val="Default"/>
        <w:numPr>
          <w:ilvl w:val="2"/>
          <w:numId w:val="27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lastRenderedPageBreak/>
        <w:t>w języku polskim, angielskim, hebrajskim oraz innych w zależności od dostępności i zapotrzebowania odbiorców (zwiedzających i klientów sklepu)</w:t>
      </w:r>
    </w:p>
    <w:p w14:paraId="3DC75904" w14:textId="77777777" w:rsidR="00761D45" w:rsidRPr="00B42E08" w:rsidRDefault="00761D45" w:rsidP="001D05CC">
      <w:pPr>
        <w:pStyle w:val="Default"/>
        <w:numPr>
          <w:ilvl w:val="2"/>
          <w:numId w:val="27"/>
        </w:numPr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 tematy żydowskie szczególnie w obszarach: historycznym, sztuki i literatury, polityki, społecznym, gospodarczym, religijnym</w:t>
      </w:r>
    </w:p>
    <w:p w14:paraId="23AECAEB" w14:textId="77777777" w:rsidR="00761D45" w:rsidRPr="00B42E08" w:rsidRDefault="00761D45" w:rsidP="001D05CC">
      <w:pPr>
        <w:pStyle w:val="Default"/>
        <w:numPr>
          <w:ilvl w:val="1"/>
          <w:numId w:val="28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O asortyment dbają pracownicy sklepu, wspierani przez pracowników muzeum w zakresie doboru wydawnictw oraz materiałów promocyjnych. Muzeum zastrzega prawo do nie wyrażenia zgody na włączenie do sprzedaży produktów, które zdaniem Muzeum będą niezgodne z misją, charakterem, tematyką lub będą naruszać wartości promowane przez Muzeum.</w:t>
      </w:r>
    </w:p>
    <w:p w14:paraId="03AB5265" w14:textId="77777777" w:rsidR="00761D45" w:rsidRPr="00B42E08" w:rsidRDefault="00761D45" w:rsidP="001D05CC">
      <w:pPr>
        <w:pStyle w:val="Default"/>
        <w:numPr>
          <w:ilvl w:val="1"/>
          <w:numId w:val="28"/>
        </w:numPr>
        <w:spacing w:line="360" w:lineRule="auto"/>
        <w:ind w:left="426" w:hanging="284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Najemca ma prawo przedstawić Muzeum inne propozycje produktów wraz z projektem, na podstawie którego Muzeum może wyrazić zgodę na produkcję.</w:t>
      </w:r>
    </w:p>
    <w:p w14:paraId="10F678E3" w14:textId="77777777" w:rsidR="00755C8F" w:rsidRDefault="00761D45" w:rsidP="00755C8F">
      <w:pPr>
        <w:pStyle w:val="Default"/>
        <w:numPr>
          <w:ilvl w:val="1"/>
          <w:numId w:val="28"/>
        </w:numPr>
        <w:spacing w:line="360" w:lineRule="auto"/>
        <w:ind w:left="426" w:hanging="284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Kolorystyka musi być spójna z muzealną Księgą Znaku. W przypadku zmiany Księgi Znaku w trakcie obowiązywania umowy, Najemca ma prawo do dystrybucji Produktów wyprodukowanych wg poprzedniego wzoru w okresie do 12 miesięcy od daty wprowadzenia nowej Księgi Znaku</w:t>
      </w:r>
    </w:p>
    <w:p w14:paraId="229E83A0" w14:textId="77777777" w:rsidR="00755C8F" w:rsidRDefault="00761D45" w:rsidP="00755C8F">
      <w:pPr>
        <w:pStyle w:val="Default"/>
        <w:numPr>
          <w:ilvl w:val="1"/>
          <w:numId w:val="28"/>
        </w:numPr>
        <w:spacing w:line="360" w:lineRule="auto"/>
        <w:ind w:left="426" w:hanging="426"/>
        <w:rPr>
          <w:rFonts w:asciiTheme="minorHAnsi" w:hAnsiTheme="minorHAnsi" w:cstheme="minorHAnsi"/>
        </w:rPr>
      </w:pPr>
      <w:r w:rsidRPr="00755C8F">
        <w:rPr>
          <w:rFonts w:asciiTheme="minorHAnsi" w:hAnsiTheme="minorHAnsi" w:cstheme="minorHAnsi"/>
        </w:rPr>
        <w:t xml:space="preserve">Muzeum udostępni Najemcy plan wystaw czasowych po jego zatwierdzaniu oraz przedstawia projekt kolejnej wystawy, wraz z projektami okładki katalogu, </w:t>
      </w:r>
      <w:proofErr w:type="spellStart"/>
      <w:r w:rsidRPr="00755C8F">
        <w:rPr>
          <w:rFonts w:asciiTheme="minorHAnsi" w:hAnsiTheme="minorHAnsi" w:cstheme="minorHAnsi"/>
        </w:rPr>
        <w:t>key</w:t>
      </w:r>
      <w:proofErr w:type="spellEnd"/>
      <w:r w:rsidRPr="00755C8F">
        <w:rPr>
          <w:rFonts w:asciiTheme="minorHAnsi" w:hAnsiTheme="minorHAnsi" w:cstheme="minorHAnsi"/>
        </w:rPr>
        <w:t xml:space="preserve"> </w:t>
      </w:r>
      <w:proofErr w:type="spellStart"/>
      <w:r w:rsidRPr="00755C8F">
        <w:rPr>
          <w:rFonts w:asciiTheme="minorHAnsi" w:hAnsiTheme="minorHAnsi" w:cstheme="minorHAnsi"/>
        </w:rPr>
        <w:t>visuala</w:t>
      </w:r>
      <w:proofErr w:type="spellEnd"/>
      <w:r w:rsidRPr="00755C8F">
        <w:rPr>
          <w:rFonts w:asciiTheme="minorHAnsi" w:hAnsiTheme="minorHAnsi" w:cstheme="minorHAnsi"/>
        </w:rPr>
        <w:t>, możliwych do powielania wzorów</w:t>
      </w:r>
    </w:p>
    <w:p w14:paraId="337972D8" w14:textId="6E1E7C96" w:rsidR="00761D45" w:rsidRPr="00755C8F" w:rsidRDefault="00761D45" w:rsidP="00755C8F">
      <w:pPr>
        <w:pStyle w:val="Default"/>
        <w:numPr>
          <w:ilvl w:val="1"/>
          <w:numId w:val="28"/>
        </w:numPr>
        <w:spacing w:line="360" w:lineRule="auto"/>
        <w:ind w:left="426" w:hanging="426"/>
        <w:rPr>
          <w:rFonts w:asciiTheme="minorHAnsi" w:hAnsiTheme="minorHAnsi" w:cstheme="minorHAnsi"/>
        </w:rPr>
      </w:pPr>
      <w:r w:rsidRPr="00755C8F">
        <w:rPr>
          <w:rFonts w:asciiTheme="minorHAnsi" w:hAnsiTheme="minorHAnsi" w:cstheme="minorHAnsi"/>
        </w:rPr>
        <w:t>Najemca dokonuje wyboru dzieł do powielenia, przedstawia wstępne projekty Produktów. Na tej podstawie Muzeum i Najemca dokonują wyboru projektów i nośników.</w:t>
      </w:r>
    </w:p>
    <w:p w14:paraId="55379C2A" w14:textId="43E9DFC7" w:rsidR="00761D45" w:rsidRPr="00B42E08" w:rsidRDefault="00761D45" w:rsidP="00755C8F">
      <w:pPr>
        <w:pStyle w:val="Default"/>
        <w:numPr>
          <w:ilvl w:val="1"/>
          <w:numId w:val="28"/>
        </w:numPr>
        <w:spacing w:line="360" w:lineRule="auto"/>
        <w:ind w:left="426" w:hanging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  <w:b/>
          <w:bCs/>
        </w:rPr>
        <w:t>Produkty wymienione w pkt. 6 muszą spełniać wymogi:</w:t>
      </w:r>
    </w:p>
    <w:p w14:paraId="516ECCFA" w14:textId="77777777" w:rsidR="00761D45" w:rsidRPr="00B42E08" w:rsidRDefault="00761D45" w:rsidP="001D05CC">
      <w:pPr>
        <w:pStyle w:val="Default"/>
        <w:numPr>
          <w:ilvl w:val="3"/>
          <w:numId w:val="28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Najwyższej jakości i zgodności z normami obowiązującymi w Polsce i Unii Europejskiej, w tym szczególnie zabawki muszą spełniać wymogi bezpieczeństwa wymagane przepisami prawa obowiązującymi na terenie Polski (atesty, odpowiednie oznakowanie produktów, instrukcja w języku polskim, itp.)</w:t>
      </w:r>
    </w:p>
    <w:p w14:paraId="22BA64DE" w14:textId="77777777" w:rsidR="00761D45" w:rsidRPr="00B42E08" w:rsidRDefault="00761D45" w:rsidP="001D05CC">
      <w:pPr>
        <w:pStyle w:val="Default"/>
        <w:numPr>
          <w:ilvl w:val="3"/>
          <w:numId w:val="28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Nawiązywać do historii i kultury żydowskiej</w:t>
      </w:r>
    </w:p>
    <w:p w14:paraId="63BC6E84" w14:textId="77777777" w:rsidR="00761D45" w:rsidRPr="00B42E08" w:rsidRDefault="00761D45" w:rsidP="001D05CC">
      <w:pPr>
        <w:pStyle w:val="Default"/>
        <w:numPr>
          <w:ilvl w:val="3"/>
          <w:numId w:val="28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Zarówno wydawnictwa jak pozostałe produkty powinny być pozytywnie zaopiniowane przez przedstawiciela Muzeum</w:t>
      </w:r>
    </w:p>
    <w:p w14:paraId="4EE89DF0" w14:textId="77777777" w:rsidR="00761D45" w:rsidRPr="00B42E08" w:rsidRDefault="00761D45" w:rsidP="001D05CC">
      <w:pPr>
        <w:pStyle w:val="Default"/>
        <w:numPr>
          <w:ilvl w:val="3"/>
          <w:numId w:val="28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lastRenderedPageBreak/>
        <w:t>Produkty muszą być zróżnicowane pod względem cenowym i dostosowane do różnych grup klientów, w tym dzieci, młodzieży szkolnej, seniorów oraz turystów polskich i zagranicznych.</w:t>
      </w:r>
    </w:p>
    <w:p w14:paraId="4CFFCDD0" w14:textId="7E3AA8AF" w:rsidR="00761D45" w:rsidRPr="00B42E08" w:rsidRDefault="00761D45" w:rsidP="00755C8F">
      <w:pPr>
        <w:pStyle w:val="Default"/>
        <w:numPr>
          <w:ilvl w:val="1"/>
          <w:numId w:val="28"/>
        </w:numPr>
        <w:spacing w:line="360" w:lineRule="auto"/>
        <w:ind w:left="426" w:hanging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Niezależnie od działań określonych w pkt. 6-11 Najemca występuje do Muzeum z wnioskiem o zatwierdzenie nowych Produktów wraz z projektami, przedkłada własne propozycje do zatwierdzenia</w:t>
      </w:r>
    </w:p>
    <w:p w14:paraId="0C87854C" w14:textId="2B664826" w:rsidR="00761D45" w:rsidRPr="00B42E08" w:rsidRDefault="00761D45" w:rsidP="00755C8F">
      <w:pPr>
        <w:pStyle w:val="Default"/>
        <w:numPr>
          <w:ilvl w:val="1"/>
          <w:numId w:val="28"/>
        </w:numPr>
        <w:spacing w:line="360" w:lineRule="auto"/>
        <w:ind w:left="426" w:hanging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Najemca może posługiwać się w zakresie wyżej opisanych zobowiązań podwykonawcami i ponosi pełną odpowiedzialność za działania lub zaniechania tych podmiotów jak za własne działania lub zaniechania.</w:t>
      </w:r>
    </w:p>
    <w:p w14:paraId="27AFE4B0" w14:textId="7BFB0D06" w:rsidR="00761D45" w:rsidRPr="00C41110" w:rsidRDefault="00761D45" w:rsidP="00C41110">
      <w:pPr>
        <w:pStyle w:val="Default"/>
        <w:numPr>
          <w:ilvl w:val="1"/>
          <w:numId w:val="28"/>
        </w:numPr>
        <w:spacing w:line="360" w:lineRule="auto"/>
        <w:ind w:left="426" w:hanging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Produkty, które nie mogą znajdować się w asortymencie: papierosy, alkohol, inne środki odurzające, broń, środki higieniczne (z wyjątkiem zaakceptowanych przez Muzeum) oraz inne produkty, których nie zaakceptuje Muzeum. </w:t>
      </w:r>
    </w:p>
    <w:p w14:paraId="21E4FE45" w14:textId="77777777" w:rsidR="00761D45" w:rsidRPr="00B42E08" w:rsidRDefault="00761D45" w:rsidP="001D05CC">
      <w:p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B42E08">
        <w:rPr>
          <w:rFonts w:asciiTheme="minorHAnsi" w:hAnsiTheme="minorHAnsi" w:cstheme="minorHAnsi"/>
          <w:sz w:val="24"/>
          <w:szCs w:val="24"/>
          <w:lang w:val="pl-PL"/>
        </w:rPr>
        <w:br w:type="page"/>
      </w:r>
    </w:p>
    <w:p w14:paraId="68FB57BC" w14:textId="343235A2" w:rsidR="00761D45" w:rsidRPr="00C41110" w:rsidRDefault="007B7006" w:rsidP="00C41110">
      <w:pPr>
        <w:pStyle w:val="Nagwek2"/>
        <w:spacing w:after="240" w:line="360" w:lineRule="auto"/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C41110">
        <w:rPr>
          <w:rFonts w:eastAsiaTheme="minorEastAsia"/>
          <w:b/>
          <w:bCs/>
          <w:color w:val="000000" w:themeColor="text1"/>
          <w:sz w:val="28"/>
          <w:szCs w:val="28"/>
          <w:lang w:val="pl-PL"/>
        </w:rPr>
        <w:lastRenderedPageBreak/>
        <w:t xml:space="preserve">Założenia dla Najemcy – Wytyczne </w:t>
      </w:r>
      <w:r w:rsidR="00613D39" w:rsidRPr="00C41110">
        <w:rPr>
          <w:rFonts w:eastAsiaTheme="minorEastAsia"/>
          <w:b/>
          <w:bCs/>
          <w:color w:val="000000" w:themeColor="text1"/>
          <w:sz w:val="28"/>
          <w:szCs w:val="28"/>
          <w:lang w:val="pl-PL"/>
        </w:rPr>
        <w:t>dotyczące wydawnictw muzealnych, ich zakupu i dystrybucji</w:t>
      </w:r>
    </w:p>
    <w:p w14:paraId="0D61A9C2" w14:textId="77777777" w:rsidR="00761D45" w:rsidRPr="00B42E08" w:rsidRDefault="00761D45" w:rsidP="001D05C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Najemca zobowiązuje się do sprzedaży wszystkich wydawnictw wydawanych przez muzeum.</w:t>
      </w:r>
    </w:p>
    <w:p w14:paraId="76BA1E83" w14:textId="77777777" w:rsidR="00761D45" w:rsidRPr="00B42E08" w:rsidRDefault="00761D45" w:rsidP="001D05C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Muzeum przedstawi Najemcy listę publikacji koniecznych do umieszczenia w sprzedaży stacjonarnej i internetowej, a Najemca określi liczbę sztuk z każdego wydawnictwa, którą chce zakupić.</w:t>
      </w:r>
    </w:p>
    <w:p w14:paraId="5D3179C7" w14:textId="77777777" w:rsidR="00761D45" w:rsidRPr="00B42E08" w:rsidRDefault="00761D45" w:rsidP="001D05C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Każdorazowo, wraz z wyczerpaniem nakładu, Najemca będzie określał liczbę sztuk z poszczególnych wydawnictw do zakupu.</w:t>
      </w:r>
    </w:p>
    <w:p w14:paraId="4E19C09A" w14:textId="77777777" w:rsidR="00761D45" w:rsidRPr="00B42E08" w:rsidRDefault="00761D45" w:rsidP="001D05C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Cenę sprzedaży publikacji przez Muzeum Najemcy ustala Muzeum, biorąc pod uwagę koszty produkcji i marżę Muzeum.</w:t>
      </w:r>
    </w:p>
    <w:p w14:paraId="4CFEB0B5" w14:textId="1741D0F7" w:rsidR="00761D45" w:rsidRPr="00B42E08" w:rsidRDefault="00761D45" w:rsidP="001D05C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Każdorazowo Muzeum udziela Najemcy rabatu księgarskiego w wysokości 3</w:t>
      </w:r>
      <w:r w:rsidR="00FB082B" w:rsidRPr="00B42E08">
        <w:rPr>
          <w:rFonts w:eastAsiaTheme="minorEastAsia" w:cstheme="minorHAnsi"/>
          <w:color w:val="000000"/>
          <w:sz w:val="24"/>
          <w:szCs w:val="24"/>
        </w:rPr>
        <w:t>0</w:t>
      </w:r>
      <w:r w:rsidRPr="00B42E08">
        <w:rPr>
          <w:rFonts w:eastAsiaTheme="minorEastAsia" w:cstheme="minorHAnsi"/>
          <w:color w:val="000000"/>
          <w:sz w:val="24"/>
          <w:szCs w:val="24"/>
        </w:rPr>
        <w:t>% od ceny netto ustalonej przez Muzeum.</w:t>
      </w:r>
    </w:p>
    <w:p w14:paraId="61CDE4A5" w14:textId="6C7FD3DD" w:rsidR="00761D45" w:rsidRPr="00B42E08" w:rsidRDefault="00761D45" w:rsidP="001D05C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Każdorazowo Muzeum wystawi Najemcy dokument „Wydanie zewnętrzne”, które jest podstawą do wystawienia faktury. Płatność nastąpi na rachunek wskazany na fakturze, w terminie </w:t>
      </w:r>
      <w:r w:rsidR="0069377D" w:rsidRPr="00B42E08">
        <w:rPr>
          <w:rFonts w:eastAsiaTheme="minorEastAsia" w:cstheme="minorHAnsi"/>
          <w:color w:val="000000"/>
          <w:sz w:val="24"/>
          <w:szCs w:val="24"/>
        </w:rPr>
        <w:t>21</w:t>
      </w:r>
      <w:r w:rsidRPr="00B42E08">
        <w:rPr>
          <w:rFonts w:eastAsiaTheme="minorEastAsia" w:cstheme="minorHAnsi"/>
          <w:color w:val="000000"/>
          <w:sz w:val="24"/>
          <w:szCs w:val="24"/>
        </w:rPr>
        <w:t xml:space="preserve"> dni od daty wystawienia dokumentu sprzedaży.</w:t>
      </w:r>
    </w:p>
    <w:p w14:paraId="32D989BC" w14:textId="5E6933F7" w:rsidR="00FB082B" w:rsidRPr="00B42E08" w:rsidRDefault="00FB082B" w:rsidP="001D05C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Po zakończeniu kolejnych wystaw czasowych oraz przed końcem umowy Najemca może dokonać zwrotu części niesprzedanych towarów. Zwrot nastąpi na podstawie faktury VAT i ceny, po jakiej Najemca kupił od Muzeum towary.</w:t>
      </w:r>
    </w:p>
    <w:p w14:paraId="32C9866D" w14:textId="77777777" w:rsidR="00761D45" w:rsidRPr="00B42E08" w:rsidRDefault="00761D45" w:rsidP="001D05C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Przedstawicielem Muzeum odpowiedzialnym za dostarczenie wydawnictw do sklepu oraz za rozliczenia z Najemcą jest Dariusz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Ososiński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, </w:t>
      </w:r>
      <w:hyperlink r:id="rId8" w:history="1">
        <w:r w:rsidRPr="00B42E08">
          <w:rPr>
            <w:rStyle w:val="Hipercze"/>
            <w:rFonts w:eastAsiaTheme="minorEastAsia" w:cstheme="minorHAnsi"/>
            <w:sz w:val="24"/>
            <w:szCs w:val="24"/>
          </w:rPr>
          <w:t>dososinski@polin.pl</w:t>
        </w:r>
      </w:hyperlink>
      <w:r w:rsidRPr="00B42E08">
        <w:rPr>
          <w:rStyle w:val="Hipercze"/>
          <w:rFonts w:eastAsiaTheme="minorEastAsia" w:cstheme="minorHAnsi"/>
          <w:sz w:val="24"/>
          <w:szCs w:val="24"/>
        </w:rPr>
        <w:t>.</w:t>
      </w:r>
      <w:r w:rsidRPr="00B42E08">
        <w:rPr>
          <w:rFonts w:cstheme="minorHAnsi"/>
          <w:sz w:val="24"/>
          <w:szCs w:val="24"/>
        </w:rPr>
        <w:br w:type="page"/>
      </w:r>
    </w:p>
    <w:p w14:paraId="045100A0" w14:textId="0B15942F" w:rsidR="00881B66" w:rsidRDefault="00366FEF" w:rsidP="00366FEF">
      <w:pPr>
        <w:pStyle w:val="Nagwek2"/>
        <w:spacing w:after="360"/>
        <w:rPr>
          <w:rFonts w:eastAsiaTheme="minorEastAsia"/>
          <w:b/>
          <w:bCs/>
          <w:sz w:val="28"/>
          <w:szCs w:val="28"/>
          <w:lang w:val="pl-PL"/>
        </w:rPr>
      </w:pPr>
      <w:r w:rsidRPr="00C41110">
        <w:rPr>
          <w:rFonts w:eastAsiaTheme="minorEastAsia"/>
          <w:b/>
          <w:bCs/>
          <w:color w:val="000000" w:themeColor="text1"/>
          <w:sz w:val="28"/>
          <w:szCs w:val="28"/>
          <w:lang w:val="pl-PL"/>
        </w:rPr>
        <w:lastRenderedPageBreak/>
        <w:t>Założenia dla Najemcy – Wyposażenie lokalu</w:t>
      </w:r>
    </w:p>
    <w:p w14:paraId="5B517542" w14:textId="5F0C3A65" w:rsidR="000930F3" w:rsidRPr="00C41110" w:rsidRDefault="000930F3" w:rsidP="00C41110">
      <w:pPr>
        <w:pStyle w:val="Nagwek3"/>
        <w:spacing w:after="120" w:line="360" w:lineRule="auto"/>
        <w:rPr>
          <w:color w:val="000000" w:themeColor="text1"/>
          <w:sz w:val="28"/>
          <w:szCs w:val="28"/>
          <w:lang w:val="pl-PL"/>
        </w:rPr>
      </w:pPr>
      <w:r w:rsidRPr="00C41110">
        <w:rPr>
          <w:color w:val="000000" w:themeColor="text1"/>
          <w:sz w:val="28"/>
          <w:szCs w:val="28"/>
        </w:rPr>
        <w:t>Szafy przyścienne, 2 sztuki</w:t>
      </w:r>
    </w:p>
    <w:p w14:paraId="2F2785B0" w14:textId="6B65C932" w:rsidR="000930F3" w:rsidRPr="00B42E08" w:rsidRDefault="000930F3" w:rsidP="00741806">
      <w:pPr>
        <w:pStyle w:val="Defaul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 x </w:t>
      </w:r>
      <w:r w:rsidRPr="00B42E08">
        <w:rPr>
          <w:rFonts w:asciiTheme="minorHAnsi" w:hAnsiTheme="minorHAnsi" w:cstheme="minorHAnsi"/>
        </w:rPr>
        <w:t>Szafa o wymiarach: szer</w:t>
      </w:r>
      <w:r w:rsidR="00741806">
        <w:rPr>
          <w:rFonts w:asciiTheme="minorHAnsi" w:hAnsiTheme="minorHAnsi" w:cstheme="minorHAnsi"/>
        </w:rPr>
        <w:t>okość</w:t>
      </w:r>
      <w:r w:rsidRPr="00B42E08">
        <w:rPr>
          <w:rFonts w:asciiTheme="minorHAnsi" w:hAnsiTheme="minorHAnsi" w:cstheme="minorHAnsi"/>
        </w:rPr>
        <w:t xml:space="preserve"> 160 c</w:t>
      </w:r>
      <w:r w:rsidR="00741806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>, wys</w:t>
      </w:r>
      <w:r w:rsidR="00741806">
        <w:rPr>
          <w:rFonts w:asciiTheme="minorHAnsi" w:hAnsiTheme="minorHAnsi" w:cstheme="minorHAnsi"/>
        </w:rPr>
        <w:t>okość</w:t>
      </w:r>
      <w:r w:rsidRPr="00B42E08">
        <w:rPr>
          <w:rFonts w:asciiTheme="minorHAnsi" w:hAnsiTheme="minorHAnsi" w:cstheme="minorHAnsi"/>
        </w:rPr>
        <w:t xml:space="preserve"> 250 c</w:t>
      </w:r>
      <w:r w:rsidR="00741806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>, gł</w:t>
      </w:r>
      <w:r w:rsidR="00741806">
        <w:rPr>
          <w:rFonts w:asciiTheme="minorHAnsi" w:hAnsiTheme="minorHAnsi" w:cstheme="minorHAnsi"/>
        </w:rPr>
        <w:t>ębokość</w:t>
      </w:r>
      <w:r w:rsidRPr="00B42E08">
        <w:rPr>
          <w:rFonts w:asciiTheme="minorHAnsi" w:hAnsiTheme="minorHAnsi" w:cstheme="minorHAnsi"/>
        </w:rPr>
        <w:t xml:space="preserve"> 35 c</w:t>
      </w:r>
      <w:r w:rsidR="00FA1D9E">
        <w:rPr>
          <w:rFonts w:asciiTheme="minorHAnsi" w:hAnsiTheme="minorHAnsi" w:cstheme="minorHAnsi"/>
        </w:rPr>
        <w:t>entymetrów.</w:t>
      </w:r>
    </w:p>
    <w:p w14:paraId="37809854" w14:textId="2CF5A188" w:rsidR="000930F3" w:rsidRPr="00B42E08" w:rsidRDefault="000930F3" w:rsidP="00741806">
      <w:pPr>
        <w:pStyle w:val="Defaul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x</w:t>
      </w:r>
      <w:r w:rsidRPr="00B42E08">
        <w:rPr>
          <w:rFonts w:asciiTheme="minorHAnsi" w:hAnsiTheme="minorHAnsi" w:cstheme="minorHAnsi"/>
        </w:rPr>
        <w:t xml:space="preserve"> Szafa o wymiarach: szer</w:t>
      </w:r>
      <w:r w:rsidR="00FA1D9E">
        <w:rPr>
          <w:rFonts w:asciiTheme="minorHAnsi" w:hAnsiTheme="minorHAnsi" w:cstheme="minorHAnsi"/>
        </w:rPr>
        <w:t>okość</w:t>
      </w:r>
      <w:r w:rsidRPr="00B42E08">
        <w:rPr>
          <w:rFonts w:asciiTheme="minorHAnsi" w:hAnsiTheme="minorHAnsi" w:cstheme="minorHAnsi"/>
        </w:rPr>
        <w:t xml:space="preserve"> 140 c</w:t>
      </w:r>
      <w:r w:rsidR="00FA1D9E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>, wys</w:t>
      </w:r>
      <w:r w:rsidR="00FA1D9E">
        <w:rPr>
          <w:rFonts w:asciiTheme="minorHAnsi" w:hAnsiTheme="minorHAnsi" w:cstheme="minorHAnsi"/>
        </w:rPr>
        <w:t>okość</w:t>
      </w:r>
      <w:r w:rsidRPr="00B42E08">
        <w:rPr>
          <w:rFonts w:asciiTheme="minorHAnsi" w:hAnsiTheme="minorHAnsi" w:cstheme="minorHAnsi"/>
        </w:rPr>
        <w:t xml:space="preserve"> 250 c</w:t>
      </w:r>
      <w:r w:rsidR="00FA1D9E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>, gł</w:t>
      </w:r>
      <w:r w:rsidR="00FA1D9E">
        <w:rPr>
          <w:rFonts w:asciiTheme="minorHAnsi" w:hAnsiTheme="minorHAnsi" w:cstheme="minorHAnsi"/>
        </w:rPr>
        <w:t>ębokość</w:t>
      </w:r>
      <w:r w:rsidRPr="00B42E08">
        <w:rPr>
          <w:rFonts w:asciiTheme="minorHAnsi" w:hAnsiTheme="minorHAnsi" w:cstheme="minorHAnsi"/>
        </w:rPr>
        <w:t xml:space="preserve"> 35 c</w:t>
      </w:r>
      <w:r w:rsidR="00FA1D9E">
        <w:rPr>
          <w:rFonts w:asciiTheme="minorHAnsi" w:hAnsiTheme="minorHAnsi" w:cstheme="minorHAnsi"/>
        </w:rPr>
        <w:t>entymetrów</w:t>
      </w:r>
    </w:p>
    <w:p w14:paraId="5B60B1A5" w14:textId="77777777" w:rsidR="000930F3" w:rsidRPr="00B42E08" w:rsidRDefault="000930F3" w:rsidP="000930F3">
      <w:pPr>
        <w:pStyle w:val="Default"/>
        <w:spacing w:line="360" w:lineRule="auto"/>
        <w:ind w:left="22" w:hanging="22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Obie szafy w kolorze białym. Wewnątrz 4 półki. Poniżej półek 3 szafki. Drzwi dwuskrzydłowe szklane.</w:t>
      </w:r>
    </w:p>
    <w:p w14:paraId="6F6266E0" w14:textId="1E48ADC2" w:rsidR="00563881" w:rsidRDefault="006A1D98" w:rsidP="00C41110">
      <w:pPr>
        <w:spacing w:line="360" w:lineRule="auto"/>
        <w:rPr>
          <w:lang w:val="pl-PL"/>
        </w:rPr>
      </w:pPr>
      <w:r w:rsidRPr="00B42E08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63EC6A4" wp14:editId="5E0AA06C">
            <wp:extent cx="1614311" cy="1302685"/>
            <wp:effectExtent l="0" t="0" r="5080" b="0"/>
            <wp:docPr id="14" name="Obraz 14" descr="Szafy przyścienne opisane powyż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Szafy przyścienne opisane powyże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89" cy="13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5329" w14:textId="505B4A95" w:rsidR="00563881" w:rsidRPr="00C41110" w:rsidRDefault="00563881" w:rsidP="00C41110">
      <w:pPr>
        <w:pStyle w:val="Nagwek3"/>
        <w:spacing w:after="120" w:line="360" w:lineRule="auto"/>
        <w:rPr>
          <w:color w:val="000000" w:themeColor="text1"/>
          <w:sz w:val="28"/>
          <w:szCs w:val="28"/>
        </w:rPr>
      </w:pPr>
      <w:r w:rsidRPr="00C41110">
        <w:rPr>
          <w:color w:val="000000" w:themeColor="text1"/>
          <w:sz w:val="28"/>
          <w:szCs w:val="28"/>
        </w:rPr>
        <w:t>Lada wolnostojąca dwustronna, 4 sztuki</w:t>
      </w:r>
    </w:p>
    <w:p w14:paraId="3F54447F" w14:textId="7863F856" w:rsidR="00563881" w:rsidRPr="00B42E08" w:rsidRDefault="00563881" w:rsidP="00563881">
      <w:pPr>
        <w:pStyle w:val="Default"/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Wymiary:</w:t>
      </w:r>
      <w:r w:rsidR="005C268D">
        <w:rPr>
          <w:rFonts w:asciiTheme="minorHAnsi" w:hAnsiTheme="minorHAnsi" w:cstheme="minorHAnsi"/>
        </w:rPr>
        <w:t xml:space="preserve"> szerokość</w:t>
      </w:r>
      <w:r w:rsidRPr="00B42E08">
        <w:rPr>
          <w:rFonts w:asciiTheme="minorHAnsi" w:hAnsiTheme="minorHAnsi" w:cstheme="minorHAnsi"/>
        </w:rPr>
        <w:t xml:space="preserve"> 140 c</w:t>
      </w:r>
      <w:r w:rsidR="00FA1D9E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 xml:space="preserve">, </w:t>
      </w:r>
      <w:r w:rsidR="005C268D">
        <w:rPr>
          <w:rFonts w:asciiTheme="minorHAnsi" w:hAnsiTheme="minorHAnsi" w:cstheme="minorHAnsi"/>
        </w:rPr>
        <w:t>głębokość</w:t>
      </w:r>
      <w:r w:rsidRPr="00B42E08">
        <w:rPr>
          <w:rFonts w:asciiTheme="minorHAnsi" w:hAnsiTheme="minorHAnsi" w:cstheme="minorHAnsi"/>
        </w:rPr>
        <w:t>105 c</w:t>
      </w:r>
      <w:r w:rsidR="00FA1D9E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>, wys</w:t>
      </w:r>
      <w:r w:rsidR="00FA1D9E">
        <w:rPr>
          <w:rFonts w:asciiTheme="minorHAnsi" w:hAnsiTheme="minorHAnsi" w:cstheme="minorHAnsi"/>
        </w:rPr>
        <w:t>okość</w:t>
      </w:r>
      <w:r w:rsidRPr="00B42E08">
        <w:rPr>
          <w:rFonts w:asciiTheme="minorHAnsi" w:hAnsiTheme="minorHAnsi" w:cstheme="minorHAnsi"/>
        </w:rPr>
        <w:t xml:space="preserve"> 180 c</w:t>
      </w:r>
      <w:r w:rsidR="00FA1D9E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 xml:space="preserve">. Po obu stronach po 4 półki. Na jednej stronie bocznej płyta z wieszakami. Na dole z obu stron lady dwie wysuwane szuflady. </w:t>
      </w:r>
    </w:p>
    <w:p w14:paraId="39888022" w14:textId="3D178EFB" w:rsidR="00563881" w:rsidRPr="00C41110" w:rsidRDefault="00563881" w:rsidP="00C41110">
      <w:pPr>
        <w:spacing w:line="360" w:lineRule="auto"/>
        <w:rPr>
          <w:lang w:val="pl-PL"/>
        </w:rPr>
      </w:pPr>
      <w:r w:rsidRPr="00B42E08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141E4EEB" wp14:editId="517A6E80">
            <wp:extent cx="1636889" cy="1265902"/>
            <wp:effectExtent l="0" t="0" r="1905" b="0"/>
            <wp:docPr id="4" name="Obraz 4" descr="Lada wolnostojąca opisana powyż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Lada wolnostojąca opisana powyże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21" cy="12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1972" w14:textId="02E8D6E3" w:rsidR="00563881" w:rsidRPr="00C41110" w:rsidRDefault="00563881" w:rsidP="00C41110">
      <w:pPr>
        <w:pStyle w:val="Nagwek3"/>
        <w:spacing w:after="120" w:line="360" w:lineRule="auto"/>
        <w:rPr>
          <w:sz w:val="28"/>
          <w:szCs w:val="28"/>
        </w:rPr>
      </w:pPr>
      <w:r w:rsidRPr="00C41110">
        <w:rPr>
          <w:color w:val="000000" w:themeColor="text1"/>
          <w:sz w:val="28"/>
          <w:szCs w:val="28"/>
        </w:rPr>
        <w:t>Lada niska wolnostojąca, 4 sztuki</w:t>
      </w:r>
    </w:p>
    <w:p w14:paraId="1DA9EC81" w14:textId="2F98DFCC" w:rsidR="00563881" w:rsidRPr="00B42E08" w:rsidRDefault="00563881" w:rsidP="00563881">
      <w:pPr>
        <w:pStyle w:val="Default"/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Wymiary:</w:t>
      </w:r>
      <w:r w:rsidR="005C268D">
        <w:rPr>
          <w:rFonts w:asciiTheme="minorHAnsi" w:hAnsiTheme="minorHAnsi" w:cstheme="minorHAnsi"/>
        </w:rPr>
        <w:t xml:space="preserve"> szerokość</w:t>
      </w:r>
      <w:r w:rsidR="00904F3F">
        <w:rPr>
          <w:rFonts w:asciiTheme="minorHAnsi" w:hAnsiTheme="minorHAnsi" w:cstheme="minorHAnsi"/>
        </w:rPr>
        <w:t xml:space="preserve"> </w:t>
      </w:r>
      <w:r w:rsidRPr="00B42E08">
        <w:rPr>
          <w:rFonts w:asciiTheme="minorHAnsi" w:hAnsiTheme="minorHAnsi" w:cstheme="minorHAnsi"/>
        </w:rPr>
        <w:t>140 c</w:t>
      </w:r>
      <w:r w:rsidR="00E84DC4">
        <w:rPr>
          <w:rFonts w:asciiTheme="minorHAnsi" w:hAnsiTheme="minorHAnsi" w:cstheme="minorHAnsi"/>
        </w:rPr>
        <w:t>entymetry</w:t>
      </w:r>
      <w:r w:rsidR="00904F3F">
        <w:rPr>
          <w:rFonts w:asciiTheme="minorHAnsi" w:hAnsiTheme="minorHAnsi" w:cstheme="minorHAnsi"/>
        </w:rPr>
        <w:t xml:space="preserve">, </w:t>
      </w:r>
      <w:r w:rsidR="005C268D">
        <w:rPr>
          <w:rFonts w:asciiTheme="minorHAnsi" w:hAnsiTheme="minorHAnsi" w:cstheme="minorHAnsi"/>
        </w:rPr>
        <w:t xml:space="preserve">głębokość </w:t>
      </w:r>
      <w:r w:rsidRPr="00B42E08">
        <w:rPr>
          <w:rFonts w:asciiTheme="minorHAnsi" w:hAnsiTheme="minorHAnsi" w:cstheme="minorHAnsi"/>
        </w:rPr>
        <w:t>75 c</w:t>
      </w:r>
      <w:r w:rsidR="00E84DC4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>, wys</w:t>
      </w:r>
      <w:r w:rsidR="00904F3F">
        <w:rPr>
          <w:rFonts w:asciiTheme="minorHAnsi" w:hAnsiTheme="minorHAnsi" w:cstheme="minorHAnsi"/>
        </w:rPr>
        <w:t>okość</w:t>
      </w:r>
      <w:r w:rsidRPr="00B42E08">
        <w:rPr>
          <w:rFonts w:asciiTheme="minorHAnsi" w:hAnsiTheme="minorHAnsi" w:cstheme="minorHAnsi"/>
        </w:rPr>
        <w:t xml:space="preserve"> 80 c</w:t>
      </w:r>
      <w:r w:rsidR="00904F3F">
        <w:rPr>
          <w:rFonts w:asciiTheme="minorHAnsi" w:hAnsiTheme="minorHAnsi" w:cstheme="minorHAnsi"/>
        </w:rPr>
        <w:t>entymetry</w:t>
      </w:r>
      <w:r w:rsidRPr="00B42E08">
        <w:rPr>
          <w:rFonts w:asciiTheme="minorHAnsi" w:hAnsiTheme="minorHAnsi" w:cstheme="minorHAnsi"/>
        </w:rPr>
        <w:t xml:space="preserve">. </w:t>
      </w:r>
    </w:p>
    <w:p w14:paraId="1AE2C46B" w14:textId="77777777" w:rsidR="00563881" w:rsidRPr="00B42E08" w:rsidRDefault="00563881" w:rsidP="00563881">
      <w:pPr>
        <w:pStyle w:val="Default"/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Z jednej strony dwie wysuwane szuflady. </w:t>
      </w:r>
    </w:p>
    <w:p w14:paraId="0A436C3C" w14:textId="590436A5" w:rsidR="00563881" w:rsidRDefault="00563881" w:rsidP="00C41110">
      <w:pPr>
        <w:spacing w:line="360" w:lineRule="auto"/>
        <w:rPr>
          <w:lang w:val="pl-PL"/>
        </w:rPr>
      </w:pPr>
      <w:r w:rsidRPr="00B42E08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14FC62C6" wp14:editId="27EE6A35">
            <wp:extent cx="1476154" cy="1140177"/>
            <wp:effectExtent l="0" t="0" r="0" b="3175"/>
            <wp:docPr id="5" name="Obraz 5" descr="Lada niska wolnostojąca opisana powyż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Lada niska wolnostojąca opisana powyżej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24" cy="11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F612" w14:textId="3F024583" w:rsidR="00563881" w:rsidRPr="00C41110" w:rsidRDefault="00563881" w:rsidP="00C41110">
      <w:pPr>
        <w:pStyle w:val="Nagwek3"/>
        <w:spacing w:after="120" w:line="360" w:lineRule="auto"/>
        <w:rPr>
          <w:color w:val="000000" w:themeColor="text1"/>
          <w:sz w:val="28"/>
          <w:szCs w:val="28"/>
        </w:rPr>
      </w:pPr>
      <w:r w:rsidRPr="00C41110">
        <w:rPr>
          <w:color w:val="000000" w:themeColor="text1"/>
          <w:sz w:val="28"/>
          <w:szCs w:val="28"/>
        </w:rPr>
        <w:t>Gablota przeszklona od góry, 2 sztuki</w:t>
      </w:r>
    </w:p>
    <w:p w14:paraId="12433CF3" w14:textId="12F59AB2" w:rsidR="00620A0D" w:rsidRPr="00B42E08" w:rsidRDefault="00620A0D" w:rsidP="00620A0D">
      <w:pPr>
        <w:pStyle w:val="Default"/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Wymiary: </w:t>
      </w:r>
      <w:r w:rsidR="005C268D">
        <w:rPr>
          <w:rFonts w:asciiTheme="minorHAnsi" w:hAnsiTheme="minorHAnsi" w:cstheme="minorHAnsi"/>
        </w:rPr>
        <w:t xml:space="preserve">szerokość </w:t>
      </w:r>
      <w:r w:rsidRPr="00B42E08">
        <w:rPr>
          <w:rFonts w:asciiTheme="minorHAnsi" w:hAnsiTheme="minorHAnsi" w:cstheme="minorHAnsi"/>
        </w:rPr>
        <w:t>105 c</w:t>
      </w:r>
      <w:r w:rsidR="005C268D">
        <w:rPr>
          <w:rFonts w:asciiTheme="minorHAnsi" w:hAnsiTheme="minorHAnsi" w:cstheme="minorHAnsi"/>
        </w:rPr>
        <w:t>entymetrów,</w:t>
      </w:r>
      <w:r w:rsidRPr="00B42E08">
        <w:rPr>
          <w:rFonts w:asciiTheme="minorHAnsi" w:hAnsiTheme="minorHAnsi" w:cstheme="minorHAnsi"/>
        </w:rPr>
        <w:t xml:space="preserve"> </w:t>
      </w:r>
      <w:r w:rsidR="005C268D">
        <w:rPr>
          <w:rFonts w:asciiTheme="minorHAnsi" w:hAnsiTheme="minorHAnsi" w:cstheme="minorHAnsi"/>
        </w:rPr>
        <w:t xml:space="preserve">głębokość </w:t>
      </w:r>
      <w:r w:rsidRPr="00B42E08">
        <w:rPr>
          <w:rFonts w:asciiTheme="minorHAnsi" w:hAnsiTheme="minorHAnsi" w:cstheme="minorHAnsi"/>
        </w:rPr>
        <w:t xml:space="preserve">70 </w:t>
      </w:r>
      <w:r w:rsidR="005C268D">
        <w:rPr>
          <w:rFonts w:asciiTheme="minorHAnsi" w:hAnsiTheme="minorHAnsi" w:cstheme="minorHAnsi"/>
        </w:rPr>
        <w:t>centymetrów</w:t>
      </w:r>
      <w:r w:rsidRPr="00B42E08">
        <w:rPr>
          <w:rFonts w:asciiTheme="minorHAnsi" w:hAnsiTheme="minorHAnsi" w:cstheme="minorHAnsi"/>
        </w:rPr>
        <w:t>, wy</w:t>
      </w:r>
      <w:r w:rsidR="005C268D">
        <w:rPr>
          <w:rFonts w:asciiTheme="minorHAnsi" w:hAnsiTheme="minorHAnsi" w:cstheme="minorHAnsi"/>
        </w:rPr>
        <w:t>sokość</w:t>
      </w:r>
      <w:r w:rsidRPr="00B42E08">
        <w:rPr>
          <w:rFonts w:asciiTheme="minorHAnsi" w:hAnsiTheme="minorHAnsi" w:cstheme="minorHAnsi"/>
        </w:rPr>
        <w:t xml:space="preserve"> 100 c</w:t>
      </w:r>
      <w:r w:rsidR="005C268D">
        <w:rPr>
          <w:rFonts w:asciiTheme="minorHAnsi" w:hAnsiTheme="minorHAnsi" w:cstheme="minorHAnsi"/>
        </w:rPr>
        <w:t>entymetrów</w:t>
      </w:r>
      <w:r w:rsidRPr="00B42E08">
        <w:rPr>
          <w:rFonts w:asciiTheme="minorHAnsi" w:hAnsiTheme="minorHAnsi" w:cstheme="minorHAnsi"/>
        </w:rPr>
        <w:t xml:space="preserve"> </w:t>
      </w:r>
    </w:p>
    <w:p w14:paraId="3885F811" w14:textId="1F44EA18" w:rsidR="00620A0D" w:rsidRPr="00B42E08" w:rsidRDefault="00FA5755" w:rsidP="00620A0D">
      <w:pPr>
        <w:pStyle w:val="Defaul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 gablotą t</w:t>
      </w:r>
      <w:r w:rsidR="00620A0D" w:rsidRPr="00B42E08">
        <w:rPr>
          <w:rFonts w:asciiTheme="minorHAnsi" w:hAnsiTheme="minorHAnsi" w:cstheme="minorHAnsi"/>
        </w:rPr>
        <w:t>rzy szuflady.</w:t>
      </w:r>
    </w:p>
    <w:p w14:paraId="1A40ED8E" w14:textId="4E5EB1E9" w:rsidR="00620A0D" w:rsidRDefault="00563881" w:rsidP="00C41110">
      <w:pPr>
        <w:rPr>
          <w:lang w:val="pl-PL"/>
        </w:rPr>
      </w:pPr>
      <w:r w:rsidRPr="00B42E08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790CF308" wp14:editId="681D6CA2">
            <wp:extent cx="1607245" cy="1123950"/>
            <wp:effectExtent l="0" t="0" r="0" b="0"/>
            <wp:docPr id="9" name="Obraz 9" descr="Gablota przeszklona od góry opisana powyż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Gablota przeszklona od góry opisana powyże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14" cy="11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9EB7" w14:textId="3759270A" w:rsidR="00620A0D" w:rsidRPr="00C41110" w:rsidRDefault="00620A0D" w:rsidP="00C41110">
      <w:pPr>
        <w:pStyle w:val="Nagwek3"/>
        <w:spacing w:after="120" w:line="360" w:lineRule="auto"/>
        <w:rPr>
          <w:color w:val="000000" w:themeColor="text1"/>
          <w:sz w:val="28"/>
          <w:szCs w:val="28"/>
        </w:rPr>
      </w:pPr>
      <w:r w:rsidRPr="00C41110">
        <w:rPr>
          <w:color w:val="000000" w:themeColor="text1"/>
          <w:sz w:val="28"/>
          <w:szCs w:val="28"/>
        </w:rPr>
        <w:t>Lada kasowa z szafką dwudrzwiową, 1 sztuka</w:t>
      </w:r>
    </w:p>
    <w:p w14:paraId="57373541" w14:textId="77777777" w:rsidR="00BB7C6D" w:rsidRPr="00B42E08" w:rsidRDefault="00BB7C6D" w:rsidP="00BB7C6D">
      <w:pPr>
        <w:pStyle w:val="Default"/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Wymiary: 105 cm x 70 cm, wys. 100 cm. </w:t>
      </w:r>
    </w:p>
    <w:p w14:paraId="7C02E423" w14:textId="77777777" w:rsidR="00BB7C6D" w:rsidRPr="00B42E08" w:rsidRDefault="00BB7C6D" w:rsidP="00BB7C6D">
      <w:pPr>
        <w:pStyle w:val="Default"/>
        <w:spacing w:line="360" w:lineRule="auto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Trzy szuflady. </w:t>
      </w:r>
    </w:p>
    <w:p w14:paraId="01BA0F47" w14:textId="52673AC1" w:rsidR="007844A8" w:rsidRDefault="00BB7C6D" w:rsidP="00C41110">
      <w:pPr>
        <w:rPr>
          <w:b/>
          <w:bCs/>
        </w:rPr>
      </w:pPr>
      <w:r w:rsidRPr="00B42E08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D3C997F" wp14:editId="28D96E96">
            <wp:extent cx="1320800" cy="1011353"/>
            <wp:effectExtent l="0" t="0" r="0" b="0"/>
            <wp:docPr id="10" name="Obraz 10" descr="Lada kasowa z szafką dwudrzwiową" title="Lada kasowa z szafką dwudrzwiow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53" cy="10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292A" w14:textId="2A8494FC" w:rsidR="007844A8" w:rsidRPr="00C41110" w:rsidRDefault="007844A8" w:rsidP="00C41110">
      <w:pPr>
        <w:pStyle w:val="Nagwek3"/>
        <w:spacing w:after="120" w:line="360" w:lineRule="auto"/>
        <w:rPr>
          <w:color w:val="000000" w:themeColor="text1"/>
          <w:sz w:val="28"/>
          <w:szCs w:val="28"/>
        </w:rPr>
      </w:pPr>
      <w:r w:rsidRPr="00C41110">
        <w:rPr>
          <w:color w:val="000000" w:themeColor="text1"/>
          <w:sz w:val="28"/>
          <w:szCs w:val="28"/>
        </w:rPr>
        <w:t>Regał przyścienny</w:t>
      </w:r>
    </w:p>
    <w:p w14:paraId="2CEF02A8" w14:textId="77777777" w:rsidR="007844A8" w:rsidRPr="00B42E08" w:rsidRDefault="007844A8" w:rsidP="007844A8">
      <w:p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B42E08">
        <w:rPr>
          <w:rFonts w:asciiTheme="minorHAnsi" w:hAnsiTheme="minorHAnsi" w:cstheme="minorHAnsi"/>
          <w:sz w:val="24"/>
          <w:szCs w:val="24"/>
          <w:lang w:val="pl-PL"/>
        </w:rPr>
        <w:t>Wymiary: 105 cm x 70 cm, wys. 100 cm. Trzy szuflady.</w:t>
      </w:r>
      <w:r w:rsidRPr="00B42E08">
        <w:rPr>
          <w:rFonts w:asciiTheme="minorHAnsi" w:hAnsiTheme="minorHAnsi" w:cstheme="minorHAnsi"/>
          <w:noProof/>
          <w:sz w:val="24"/>
          <w:szCs w:val="24"/>
          <w:lang w:val="pl-PL" w:eastAsia="pl-PL"/>
        </w:rPr>
        <w:t xml:space="preserve"> </w:t>
      </w:r>
    </w:p>
    <w:p w14:paraId="63285F15" w14:textId="3E881CF4" w:rsidR="00761D45" w:rsidRPr="00632038" w:rsidRDefault="007844A8" w:rsidP="00632038">
      <w:pPr>
        <w:rPr>
          <w:lang w:val="pl-PL"/>
        </w:rPr>
      </w:pPr>
      <w:r w:rsidRPr="00B42E08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B3129B6" wp14:editId="6C45749B">
            <wp:extent cx="1333150" cy="1010920"/>
            <wp:effectExtent l="0" t="0" r="635" b="0"/>
            <wp:docPr id="11" name="Obraz 11" descr="Regał przyścienny opisany powyż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Regał przyścienny opisany powyżej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24" cy="10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B4C5" w14:textId="2CD0E7DE" w:rsidR="001802F0" w:rsidRPr="00C41110" w:rsidRDefault="00CE5E54" w:rsidP="00C41110">
      <w:pPr>
        <w:pStyle w:val="Nagwek2"/>
        <w:spacing w:after="240" w:line="360" w:lineRule="auto"/>
        <w:rPr>
          <w:b/>
          <w:bCs/>
          <w:color w:val="000000" w:themeColor="text1"/>
          <w:sz w:val="28"/>
          <w:szCs w:val="28"/>
        </w:rPr>
      </w:pPr>
      <w:r w:rsidRPr="00C41110">
        <w:rPr>
          <w:b/>
          <w:bCs/>
          <w:color w:val="000000" w:themeColor="text1"/>
          <w:sz w:val="28"/>
          <w:szCs w:val="28"/>
        </w:rPr>
        <w:lastRenderedPageBreak/>
        <w:t>Z</w:t>
      </w:r>
      <w:proofErr w:type="spellStart"/>
      <w:r w:rsidR="00C41110" w:rsidRPr="00C41110">
        <w:rPr>
          <w:b/>
          <w:bCs/>
          <w:color w:val="000000" w:themeColor="text1"/>
          <w:sz w:val="28"/>
          <w:szCs w:val="28"/>
          <w:lang w:val="pl-PL"/>
        </w:rPr>
        <w:t>ałożenia</w:t>
      </w:r>
      <w:proofErr w:type="spellEnd"/>
      <w:r w:rsidR="00C41110" w:rsidRPr="00C41110">
        <w:rPr>
          <w:b/>
          <w:bCs/>
          <w:color w:val="000000" w:themeColor="text1"/>
          <w:sz w:val="28"/>
          <w:szCs w:val="28"/>
          <w:lang w:val="pl-PL"/>
        </w:rPr>
        <w:t xml:space="preserve"> dla najemcy – wytyczne dotyczące konserwacji podłogi</w:t>
      </w:r>
    </w:p>
    <w:p w14:paraId="132EC37E" w14:textId="77777777" w:rsidR="001A2C62" w:rsidRPr="00B42E08" w:rsidRDefault="001A2C62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W Muzeum Historii Żydów Polskich położono naturalny pakiet wykonany w 100% z naturalnego drewna o wysokiej odporności użytkowej z gwarancją określoną niniejszych warunkach.</w:t>
      </w:r>
    </w:p>
    <w:p w14:paraId="0799D3CC" w14:textId="060109D1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Do pielęgnacji należy stosować jedynie środki zalecane przez producenta oleju produkty firmy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Pallmann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lub inne, uzgodnione z Muzeum przystosowane do drewnianych podłóg </w:t>
      </w:r>
      <w:r w:rsidR="00787DCB" w:rsidRPr="00B42E08">
        <w:rPr>
          <w:rFonts w:eastAsiaTheme="minorEastAsia" w:cstheme="minorHAnsi"/>
          <w:color w:val="000000"/>
          <w:sz w:val="24"/>
          <w:szCs w:val="24"/>
        </w:rPr>
        <w:t>z</w:t>
      </w:r>
      <w:r w:rsidRPr="00B42E08">
        <w:rPr>
          <w:rFonts w:eastAsiaTheme="minorEastAsia" w:cstheme="minorHAnsi"/>
          <w:color w:val="000000"/>
          <w:sz w:val="24"/>
          <w:szCs w:val="24"/>
        </w:rPr>
        <w:t>akonserwowanych olejowo. Każdorazowo należy zapoznać się z instrukcją użytkowania załączoną do preparatu.</w:t>
      </w:r>
    </w:p>
    <w:p w14:paraId="335EFC8C" w14:textId="77777777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Po pielęgnacji nie może na powierzchni parkietu zalegać woda, ani płyn po pielęgnacji.</w:t>
      </w:r>
    </w:p>
    <w:p w14:paraId="5E0B4C9E" w14:textId="77777777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Wszelkie meble i urządzenia stojące na parkiecie powinny być podklejone podkładkami filcowymi, lub sylikonowymi. Nie stosować podkładek gumowych. Do wszystkich foteli, mebli oraz urządzeń wyposażonych w kółka należy obowiązkowo stosować specjalistyczne maty ochronne zapobiegające uszkodzeniom mechanicznym.</w:t>
      </w:r>
    </w:p>
    <w:p w14:paraId="7287275B" w14:textId="77777777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Nie należy przykrywać parkietu folią lub materiałami nieprzepuszczalnymi dla powietrza. Dla zabezpieczenia posadzki podczas prac konserwatorskich lub remontowych należy stosować zawsze tekturę falistą.</w:t>
      </w:r>
    </w:p>
    <w:p w14:paraId="45FDC5B8" w14:textId="77777777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Bieżące „codzienne” czyszczenie podłóg olejowanych polega na usunięciu zabrudzeń stałych takich jak piasek, kurz itp. oraz na ewentualnym przemywaniu powierzchni wodą z dodatkiem środka czyszczącego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Pallmann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Clean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lub mydła do podłóg olejowanych.</w:t>
      </w:r>
    </w:p>
    <w:p w14:paraId="339700D5" w14:textId="77777777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Wskazówka: Głównym elementem sprzątania podłóg olejowanych jest usuwanie zabrudzeń stałych na sucho!</w:t>
      </w:r>
    </w:p>
    <w:p w14:paraId="4307AED1" w14:textId="77777777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Przemywanie na mokro stosujemy w sytuacji konieczności umycia powierzchni podłogi.</w:t>
      </w:r>
    </w:p>
    <w:p w14:paraId="18CA4DB0" w14:textId="77777777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W celu usunięcia zabrudzeń stałych podłogę należy regularnie odkurzać. Alternatywnie, polecanym rozwiązaniem jest zamiatanie powierzchni za pomocą specjalnej prostokątnej nasadki na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mopa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do sprzątania na sucho. Tego typu sprzątanie jest prostym i skutecznym rozwiązaniem, gwarantującym dość dobre oczyszczenie podłogi z zanieczyszczeń mechanicznych bez nadmiernego wysiłku czy też straty czasu. Dostępne są specjalne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mopy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</w:t>
      </w:r>
      <w:r w:rsidRPr="00B42E08">
        <w:rPr>
          <w:rFonts w:eastAsiaTheme="minorEastAsia" w:cstheme="minorHAnsi"/>
          <w:color w:val="000000"/>
          <w:sz w:val="24"/>
          <w:szCs w:val="24"/>
        </w:rPr>
        <w:lastRenderedPageBreak/>
        <w:t>nożycowe pozwalające na skuteczne usuwanie zanieczyszczeń stałych w prosty i szybki sposób na dużych powierzchniach.</w:t>
      </w:r>
    </w:p>
    <w:p w14:paraId="24131089" w14:textId="77777777" w:rsidR="001802F0" w:rsidRPr="00B42E08" w:rsidRDefault="001802F0" w:rsidP="001D05CC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360" w:lineRule="auto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>W przypadku konieczności umycia podłogi:</w:t>
      </w:r>
    </w:p>
    <w:p w14:paraId="29DB3B36" w14:textId="5A7B5AE9" w:rsidR="00787DCB" w:rsidRPr="00B42E08" w:rsidRDefault="001802F0" w:rsidP="001D05CC">
      <w:pPr>
        <w:pStyle w:val="Akapitzlist"/>
        <w:numPr>
          <w:ilvl w:val="3"/>
          <w:numId w:val="28"/>
        </w:numPr>
        <w:autoSpaceDE w:val="0"/>
        <w:autoSpaceDN w:val="0"/>
        <w:adjustRightInd w:val="0"/>
        <w:spacing w:line="360" w:lineRule="auto"/>
        <w:ind w:left="709" w:hanging="283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Odkurzamy podłogę lub zamiatamy za pomocą specjalnego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mopa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>.</w:t>
      </w:r>
    </w:p>
    <w:p w14:paraId="49C1D235" w14:textId="77777777" w:rsidR="00787DCB" w:rsidRPr="00B42E08" w:rsidRDefault="001802F0" w:rsidP="001D05CC">
      <w:pPr>
        <w:pStyle w:val="Akapitzlist"/>
        <w:numPr>
          <w:ilvl w:val="3"/>
          <w:numId w:val="28"/>
        </w:numPr>
        <w:autoSpaceDE w:val="0"/>
        <w:autoSpaceDN w:val="0"/>
        <w:adjustRightInd w:val="0"/>
        <w:spacing w:line="360" w:lineRule="auto"/>
        <w:ind w:left="709" w:hanging="283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Neutralny środek czyszczący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Pallmann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Clean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dodajemy w ilości ok. 1-2 % do letnio - ciepłej wody (nigdy nie stosujemy przy podłogach olejowanych gorącej wody! ) Roztwór taki to ok. 100-200 ml. na 10 l. wody. Nie należy przekraczać dawki gdyż działanie środka może być zbyt intensywne.</w:t>
      </w:r>
    </w:p>
    <w:p w14:paraId="56E00955" w14:textId="77777777" w:rsidR="00787DCB" w:rsidRPr="00B42E08" w:rsidRDefault="001802F0" w:rsidP="001D05CC">
      <w:pPr>
        <w:pStyle w:val="Akapitzlist"/>
        <w:numPr>
          <w:ilvl w:val="3"/>
          <w:numId w:val="28"/>
        </w:numPr>
        <w:autoSpaceDE w:val="0"/>
        <w:autoSpaceDN w:val="0"/>
        <w:adjustRightInd w:val="0"/>
        <w:spacing w:line="360" w:lineRule="auto"/>
        <w:ind w:left="709" w:hanging="283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Podłogę myjemy dobrze wyciśniętym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mopem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nie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wylewająć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wody bezpośrednio na powierzchnie.</w:t>
      </w:r>
    </w:p>
    <w:p w14:paraId="77E755A7" w14:textId="77777777" w:rsidR="00787DCB" w:rsidRPr="00B42E08" w:rsidRDefault="001802F0" w:rsidP="001D05CC">
      <w:pPr>
        <w:pStyle w:val="Akapitzlist"/>
        <w:numPr>
          <w:ilvl w:val="3"/>
          <w:numId w:val="28"/>
        </w:numPr>
        <w:autoSpaceDE w:val="0"/>
        <w:autoSpaceDN w:val="0"/>
        <w:adjustRightInd w:val="0"/>
        <w:spacing w:line="360" w:lineRule="auto"/>
        <w:ind w:left="709" w:hanging="283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W celu podniesienia efektywności mycia wskazane jest płukanie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mopa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w czystej wodzie przed ponownym zanurzeniem w roztworze czyszczącym.</w:t>
      </w:r>
    </w:p>
    <w:p w14:paraId="2820AAFE" w14:textId="561828F0" w:rsidR="001802F0" w:rsidRPr="00B42E08" w:rsidRDefault="001802F0" w:rsidP="001D05CC">
      <w:pPr>
        <w:pStyle w:val="Akapitzlist"/>
        <w:numPr>
          <w:ilvl w:val="3"/>
          <w:numId w:val="28"/>
        </w:numPr>
        <w:autoSpaceDE w:val="0"/>
        <w:autoSpaceDN w:val="0"/>
        <w:adjustRightInd w:val="0"/>
        <w:spacing w:line="360" w:lineRule="auto"/>
        <w:ind w:left="709" w:hanging="283"/>
        <w:rPr>
          <w:rFonts w:eastAsiaTheme="minorEastAsia" w:cstheme="minorHAnsi"/>
          <w:color w:val="000000"/>
          <w:sz w:val="24"/>
          <w:szCs w:val="24"/>
        </w:rPr>
      </w:pPr>
      <w:r w:rsidRPr="00B42E08">
        <w:rPr>
          <w:rFonts w:eastAsiaTheme="minorEastAsia" w:cstheme="minorHAnsi"/>
          <w:color w:val="000000"/>
          <w:sz w:val="24"/>
          <w:szCs w:val="24"/>
        </w:rPr>
        <w:t xml:space="preserve">Roztwór środka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Pallmann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</w:t>
      </w:r>
      <w:proofErr w:type="spellStart"/>
      <w:r w:rsidRPr="00B42E08">
        <w:rPr>
          <w:rFonts w:eastAsiaTheme="minorEastAsia" w:cstheme="minorHAnsi"/>
          <w:color w:val="000000"/>
          <w:sz w:val="24"/>
          <w:szCs w:val="24"/>
        </w:rPr>
        <w:t>Clen</w:t>
      </w:r>
      <w:proofErr w:type="spellEnd"/>
      <w:r w:rsidRPr="00B42E08">
        <w:rPr>
          <w:rFonts w:eastAsiaTheme="minorEastAsia" w:cstheme="minorHAnsi"/>
          <w:color w:val="000000"/>
          <w:sz w:val="24"/>
          <w:szCs w:val="24"/>
        </w:rPr>
        <w:t xml:space="preserve"> może być jednocześnie użyty do mycia podłóg kamiennych, laminatów czy też lakierowanych podłóg drewnianych.</w:t>
      </w:r>
    </w:p>
    <w:p w14:paraId="28B8073A" w14:textId="3379A29F" w:rsidR="00761D45" w:rsidRPr="00B14276" w:rsidRDefault="007B20BA" w:rsidP="00C41110">
      <w:pPr>
        <w:pStyle w:val="Nagwek2"/>
        <w:spacing w:after="240" w:line="360" w:lineRule="auto"/>
        <w:rPr>
          <w:b/>
          <w:bCs/>
          <w:sz w:val="28"/>
          <w:szCs w:val="28"/>
        </w:rPr>
      </w:pPr>
      <w:r w:rsidRPr="00B42E08">
        <w:br w:type="page"/>
      </w:r>
      <w:r w:rsidR="00CE5E54" w:rsidRPr="00C41110">
        <w:rPr>
          <w:rFonts w:eastAsiaTheme="minorEastAsia"/>
          <w:b/>
          <w:bCs/>
          <w:color w:val="000000" w:themeColor="text1"/>
          <w:sz w:val="28"/>
          <w:szCs w:val="28"/>
        </w:rPr>
        <w:lastRenderedPageBreak/>
        <w:t>Z</w:t>
      </w:r>
      <w:proofErr w:type="spellStart"/>
      <w:r w:rsidR="00C41110" w:rsidRPr="00C41110">
        <w:rPr>
          <w:rFonts w:eastAsiaTheme="minorEastAsia"/>
          <w:b/>
          <w:bCs/>
          <w:color w:val="000000" w:themeColor="text1"/>
          <w:sz w:val="28"/>
          <w:szCs w:val="28"/>
          <w:lang w:val="pl-PL"/>
        </w:rPr>
        <w:t>ałożenia</w:t>
      </w:r>
      <w:proofErr w:type="spellEnd"/>
      <w:r w:rsidR="00C41110" w:rsidRPr="00C41110">
        <w:rPr>
          <w:rFonts w:eastAsiaTheme="minorEastAsia"/>
          <w:b/>
          <w:bCs/>
          <w:color w:val="000000" w:themeColor="text1"/>
          <w:sz w:val="28"/>
          <w:szCs w:val="28"/>
          <w:lang w:val="pl-PL"/>
        </w:rPr>
        <w:t xml:space="preserve"> dla najemcy – zasady bezpieczeństwa dla najemców w Muzeum Historii Żydów Polskich POLIN</w:t>
      </w:r>
    </w:p>
    <w:p w14:paraId="36FA0BF2" w14:textId="77777777" w:rsidR="00761D45" w:rsidRPr="00B42E08" w:rsidRDefault="00761D45" w:rsidP="001D05CC">
      <w:pPr>
        <w:pStyle w:val="Default"/>
        <w:numPr>
          <w:ilvl w:val="0"/>
          <w:numId w:val="25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współpracujący z Muzeum Historii Żydów Polskich jest zobowiązany do przestrzegania obowiązujących aktów prawa wewnętrznego Muzeum, w tym w szczególności do: </w:t>
      </w:r>
    </w:p>
    <w:p w14:paraId="31A90E85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 w:hanging="338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Przestrzegania instrukcji ruch osobowy, samochodowy i materiałowy w MHŻP; </w:t>
      </w:r>
    </w:p>
    <w:p w14:paraId="3D9EC25C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 w:hanging="338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Przestrzegania instrukcji postępowania w przypadkach szczególnych w MHŻP; </w:t>
      </w:r>
    </w:p>
    <w:p w14:paraId="0E930630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 w:hanging="338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Przestrzegania instrukcji postępowania na wypadek incydentów przeciwko mieniu i muzealiom; </w:t>
      </w:r>
    </w:p>
    <w:p w14:paraId="39610CD8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 w:hanging="338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Przestrzegania instrukcji postępowania na wypadek usterek i awarii infrastruktury technicznej w Muzeum; </w:t>
      </w:r>
    </w:p>
    <w:p w14:paraId="5B369727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 w:hanging="338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Przestrzegania przepisów przeciwpożarowych na podstawie instrukcji bezpieczeństwo pożarowe; </w:t>
      </w:r>
    </w:p>
    <w:p w14:paraId="5851A775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 w:hanging="338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Przestrzegania przepisów bezpieczeństwa i higieny pracy na podstawie instrukcji BHP; </w:t>
      </w:r>
    </w:p>
    <w:p w14:paraId="4F9209BF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 w:hanging="338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>Przestrzegania Zasad Dobrej Współpracy obowiązujących w Muzeum.</w:t>
      </w:r>
    </w:p>
    <w:p w14:paraId="308CC0D9" w14:textId="77777777" w:rsidR="00761D45" w:rsidRPr="00B42E08" w:rsidRDefault="00761D45" w:rsidP="001D05CC">
      <w:pPr>
        <w:pStyle w:val="Default"/>
        <w:numPr>
          <w:ilvl w:val="0"/>
          <w:numId w:val="25"/>
        </w:numPr>
        <w:spacing w:line="360" w:lineRule="auto"/>
        <w:ind w:left="426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Najemca jest zobligowany do współpracy z Działem Bezpieczeństwa Muzeum, która to współpraca powinna polegać w szczególności na: </w:t>
      </w:r>
    </w:p>
    <w:p w14:paraId="22CF2438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Zgłaszaniu incydentów bezpieczeństwa; </w:t>
      </w:r>
    </w:p>
    <w:p w14:paraId="7FAD3495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Wdrażaniu oraz utrzymywaniu standardów bezpieczeństwa; </w:t>
      </w:r>
    </w:p>
    <w:p w14:paraId="32C739D5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Informowaniu o planowanych wydarzeniach; </w:t>
      </w:r>
    </w:p>
    <w:p w14:paraId="2002640B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Informowaniu o zmianach personelu poprzez wniosek o wydanie identyfikatora; </w:t>
      </w:r>
    </w:p>
    <w:p w14:paraId="16C4AE4D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Informowaniu o zagubieniu identyfikatora poprzez wniosek o zagubieniu identyfikatora; </w:t>
      </w:r>
    </w:p>
    <w:p w14:paraId="125F6B36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Informowaniu o przewidywanych dostawach poprzez formularz zgłoszeń pojazdów; </w:t>
      </w:r>
    </w:p>
    <w:p w14:paraId="71A0A2AC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Zgłaszaniu gości poprzez formularz zapotrzebowania osobowego; </w:t>
      </w:r>
    </w:p>
    <w:p w14:paraId="3A8D9932" w14:textId="77777777" w:rsidR="00761D45" w:rsidRPr="00B42E08" w:rsidRDefault="00761D45" w:rsidP="001D05CC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t xml:space="preserve">Zgłaszaniu pojazdu do parkowania na wyznaczonym jednym miejscu postojowym na parkingu od ul. Edelmana, poprzez wniosek o wydanie karty samochodowej; </w:t>
      </w:r>
    </w:p>
    <w:p w14:paraId="7EA15D29" w14:textId="2B106666" w:rsidR="00761D45" w:rsidRPr="00C41110" w:rsidRDefault="00761D45" w:rsidP="00C41110">
      <w:pPr>
        <w:pStyle w:val="Default"/>
        <w:numPr>
          <w:ilvl w:val="1"/>
          <w:numId w:val="25"/>
        </w:numPr>
        <w:spacing w:line="360" w:lineRule="auto"/>
        <w:ind w:left="993"/>
        <w:rPr>
          <w:rFonts w:asciiTheme="minorHAnsi" w:hAnsiTheme="minorHAnsi" w:cstheme="minorHAnsi"/>
        </w:rPr>
      </w:pPr>
      <w:r w:rsidRPr="00B42E08">
        <w:rPr>
          <w:rFonts w:asciiTheme="minorHAnsi" w:hAnsiTheme="minorHAnsi" w:cstheme="minorHAnsi"/>
        </w:rPr>
        <w:lastRenderedPageBreak/>
        <w:t>Zgłaszaniu o wnoszeniu własnych narzędzi/materiałów poprzez wykaz materiałów/narzędzi wnoszonych/wynoszonych.</w:t>
      </w:r>
    </w:p>
    <w:sectPr w:rsidR="00761D45" w:rsidRPr="00C41110" w:rsidSect="00FE133C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1417" w:right="112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84532" w14:textId="77777777" w:rsidR="00A03714" w:rsidRDefault="00A03714">
      <w:pPr>
        <w:spacing w:line="240" w:lineRule="auto"/>
      </w:pPr>
      <w:r>
        <w:separator/>
      </w:r>
    </w:p>
  </w:endnote>
  <w:endnote w:type="continuationSeparator" w:id="0">
    <w:p w14:paraId="23C985A5" w14:textId="77777777" w:rsidR="00A03714" w:rsidRDefault="00A037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tyrene A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Segoe UI"/>
    <w:panose1 w:val="00000000000000000000"/>
    <w:charset w:val="00"/>
    <w:family w:val="roman"/>
    <w:notTrueType/>
    <w:pitch w:val="default"/>
  </w:font>
  <w:font w:name="Whitney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Whitney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BellGothicEU">
    <w:charset w:val="EE"/>
    <w:family w:val="auto"/>
    <w:pitch w:val="variable"/>
    <w:sig w:usb0="A00000AF" w:usb1="5000004A" w:usb2="00000000" w:usb3="00000000" w:csb0="00000193" w:csb1="00000000"/>
  </w:font>
  <w:font w:name="Styrene A Regular">
    <w:altName w:val="Times New Roman"/>
    <w:charset w:val="00"/>
    <w:family w:val="auto"/>
    <w:pitch w:val="variable"/>
    <w:sig w:usb0="00000001" w:usb1="500004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ED0C0" w14:textId="77777777" w:rsidR="00F800AB" w:rsidRDefault="00D74F4E">
    <w:pPr>
      <w:pStyle w:val="Stopka"/>
    </w:pPr>
    <w:sdt>
      <w:sdtPr>
        <w:id w:val="969400743"/>
        <w:temporary/>
        <w:showingPlcHdr/>
      </w:sdtPr>
      <w:sdtEndPr/>
      <w:sdtContent>
        <w:r w:rsidR="00650F8A">
          <w:t>[Type text]</w:t>
        </w:r>
      </w:sdtContent>
    </w:sdt>
    <w:r w:rsidR="00650F8A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650F8A">
          <w:t>[Type text]</w:t>
        </w:r>
      </w:sdtContent>
    </w:sdt>
    <w:r w:rsidR="00650F8A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650F8A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6844849"/>
      <w:docPartObj>
        <w:docPartGallery w:val="Page Numbers (Bottom of Page)"/>
        <w:docPartUnique/>
      </w:docPartObj>
    </w:sdtPr>
    <w:sdtEndPr/>
    <w:sdtContent>
      <w:p w14:paraId="40F515C0" w14:textId="77777777" w:rsidR="00FE133C" w:rsidRDefault="00650F8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155050DA" w14:textId="77777777" w:rsidR="00F800AB" w:rsidRDefault="00D74F4E" w:rsidP="00F81E31">
    <w:pPr>
      <w:pStyle w:val="Stopka"/>
      <w:ind w:left="-18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C075A" w14:textId="77777777" w:rsidR="00A03714" w:rsidRDefault="00A03714">
      <w:pPr>
        <w:spacing w:line="240" w:lineRule="auto"/>
      </w:pPr>
      <w:r>
        <w:separator/>
      </w:r>
    </w:p>
  </w:footnote>
  <w:footnote w:type="continuationSeparator" w:id="0">
    <w:p w14:paraId="373CDA52" w14:textId="77777777" w:rsidR="00A03714" w:rsidRDefault="00A037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32291" w14:textId="77777777" w:rsidR="00F800AB" w:rsidRDefault="00D74F4E">
    <w:pPr>
      <w:pStyle w:val="Nagwek"/>
    </w:pPr>
    <w:sdt>
      <w:sdtPr>
        <w:id w:val="171999623"/>
        <w:temporary/>
        <w:showingPlcHdr/>
      </w:sdtPr>
      <w:sdtEndPr/>
      <w:sdtContent>
        <w:r w:rsidR="00650F8A">
          <w:t>[Type text]</w:t>
        </w:r>
      </w:sdtContent>
    </w:sdt>
    <w:r w:rsidR="00650F8A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650F8A">
          <w:t>[Type text]</w:t>
        </w:r>
      </w:sdtContent>
    </w:sdt>
    <w:r w:rsidR="00650F8A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650F8A">
          <w:t>[Type text]</w:t>
        </w:r>
      </w:sdtContent>
    </w:sdt>
  </w:p>
  <w:p w14:paraId="0B91FF14" w14:textId="77777777" w:rsidR="00F800AB" w:rsidRDefault="00D74F4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5B059" w14:textId="77777777" w:rsidR="00F800AB" w:rsidRPr="00F81E31" w:rsidRDefault="00650F8A" w:rsidP="00F81E31">
    <w:pPr>
      <w:pStyle w:val="Nagwek"/>
      <w:ind w:left="-1800"/>
      <w:rPr>
        <w:rFonts w:ascii="Styrene A Regular" w:hAnsi="Styrene A Regular" w:cstheme="minorBidi"/>
      </w:rPr>
    </w:pPr>
    <w:r>
      <w:rPr>
        <w:noProof/>
        <w:lang w:val="pl-PL" w:eastAsia="pl-PL"/>
      </w:rPr>
      <w:drawing>
        <wp:inline distT="0" distB="0" distL="0" distR="0" wp14:anchorId="6EDF80B4" wp14:editId="260EF976">
          <wp:extent cx="7545600" cy="1800000"/>
          <wp:effectExtent l="0" t="0" r="0" b="0"/>
          <wp:docPr id="38" name="Picture 1" descr="Logo Muzeum Polin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N_a4_naglowe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8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3DE1"/>
    <w:multiLevelType w:val="hybridMultilevel"/>
    <w:tmpl w:val="F9421E04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DBE47B2C">
      <w:start w:val="1"/>
      <w:numFmt w:val="decimal"/>
      <w:lvlText w:val="%5"/>
      <w:lvlJc w:val="left"/>
      <w:pPr>
        <w:ind w:left="2880" w:hanging="360"/>
      </w:pPr>
      <w:rPr>
        <w:rFonts w:asciiTheme="minorHAnsi" w:eastAsiaTheme="minorEastAsia" w:hAnsiTheme="minorHAnsi" w:cstheme="minorHAnsi"/>
      </w:r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2702D5D"/>
    <w:multiLevelType w:val="hybridMultilevel"/>
    <w:tmpl w:val="ECB228C0"/>
    <w:lvl w:ilvl="0" w:tplc="85AC8108">
      <w:start w:val="15"/>
      <w:numFmt w:val="decimal"/>
      <w:lvlText w:val="%1."/>
      <w:lvlJc w:val="left"/>
      <w:pPr>
        <w:ind w:left="360" w:hanging="360"/>
      </w:pPr>
      <w:rPr>
        <w:rFonts w:ascii="Calibri" w:eastAsia="Arial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1364" w:hanging="180"/>
      </w:pPr>
    </w:lvl>
    <w:lvl w:ilvl="3" w:tplc="0415000F" w:tentative="1">
      <w:start w:val="1"/>
      <w:numFmt w:val="decimal"/>
      <w:lvlText w:val="%4."/>
      <w:lvlJc w:val="left"/>
      <w:pPr>
        <w:ind w:left="2084" w:hanging="360"/>
      </w:pPr>
    </w:lvl>
    <w:lvl w:ilvl="4" w:tplc="04150019" w:tentative="1">
      <w:start w:val="1"/>
      <w:numFmt w:val="lowerLetter"/>
      <w:lvlText w:val="%5."/>
      <w:lvlJc w:val="left"/>
      <w:pPr>
        <w:ind w:left="2804" w:hanging="360"/>
      </w:pPr>
    </w:lvl>
    <w:lvl w:ilvl="5" w:tplc="0415001B" w:tentative="1">
      <w:start w:val="1"/>
      <w:numFmt w:val="lowerRoman"/>
      <w:lvlText w:val="%6."/>
      <w:lvlJc w:val="right"/>
      <w:pPr>
        <w:ind w:left="3524" w:hanging="180"/>
      </w:pPr>
    </w:lvl>
    <w:lvl w:ilvl="6" w:tplc="0415000F" w:tentative="1">
      <w:start w:val="1"/>
      <w:numFmt w:val="decimal"/>
      <w:lvlText w:val="%7."/>
      <w:lvlJc w:val="left"/>
      <w:pPr>
        <w:ind w:left="4244" w:hanging="360"/>
      </w:pPr>
    </w:lvl>
    <w:lvl w:ilvl="7" w:tplc="04150019" w:tentative="1">
      <w:start w:val="1"/>
      <w:numFmt w:val="lowerLetter"/>
      <w:lvlText w:val="%8."/>
      <w:lvlJc w:val="left"/>
      <w:pPr>
        <w:ind w:left="4964" w:hanging="360"/>
      </w:pPr>
    </w:lvl>
    <w:lvl w:ilvl="8" w:tplc="0415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2" w15:restartNumberingAfterBreak="0">
    <w:nsid w:val="028143C5"/>
    <w:multiLevelType w:val="hybridMultilevel"/>
    <w:tmpl w:val="5EE277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6590A"/>
    <w:multiLevelType w:val="hybridMultilevel"/>
    <w:tmpl w:val="FA2ADC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E5F68"/>
    <w:multiLevelType w:val="hybridMultilevel"/>
    <w:tmpl w:val="44B892BE"/>
    <w:lvl w:ilvl="0" w:tplc="171E475A">
      <w:start w:val="1"/>
      <w:numFmt w:val="decimal"/>
      <w:lvlText w:val="%1)"/>
      <w:lvlJc w:val="left"/>
      <w:pPr>
        <w:ind w:left="720" w:hanging="360"/>
      </w:pPr>
      <w:rPr>
        <w:rFonts w:ascii="Calibri" w:eastAsiaTheme="minorEastAsia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C5377"/>
    <w:multiLevelType w:val="hybridMultilevel"/>
    <w:tmpl w:val="8034CDA4"/>
    <w:lvl w:ilvl="0" w:tplc="0415000F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6" w15:restartNumberingAfterBreak="0">
    <w:nsid w:val="0FA67F80"/>
    <w:multiLevelType w:val="hybridMultilevel"/>
    <w:tmpl w:val="A712FE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63B6D"/>
    <w:multiLevelType w:val="hybridMultilevel"/>
    <w:tmpl w:val="CB90D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1F181B"/>
    <w:multiLevelType w:val="hybridMultilevel"/>
    <w:tmpl w:val="49862B3A"/>
    <w:lvl w:ilvl="0" w:tplc="99C81BB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CC0A1812">
      <w:start w:val="1"/>
      <w:numFmt w:val="decimal"/>
      <w:lvlText w:val="%2)"/>
      <w:lvlJc w:val="left"/>
      <w:pPr>
        <w:ind w:left="1800" w:hanging="360"/>
      </w:pPr>
      <w:rPr>
        <w:rFonts w:asciiTheme="majorHAnsi" w:eastAsia="Arial" w:hAnsiTheme="majorHAnsi" w:cs="Arial"/>
      </w:r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17210C"/>
    <w:multiLevelType w:val="hybridMultilevel"/>
    <w:tmpl w:val="FD34486E"/>
    <w:lvl w:ilvl="0" w:tplc="160E84F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0C43BC"/>
    <w:multiLevelType w:val="hybridMultilevel"/>
    <w:tmpl w:val="E4C4F53C"/>
    <w:lvl w:ilvl="0" w:tplc="94FAE5D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C72AA"/>
    <w:multiLevelType w:val="hybridMultilevel"/>
    <w:tmpl w:val="8EA6000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A0CA5"/>
    <w:multiLevelType w:val="hybridMultilevel"/>
    <w:tmpl w:val="937EEC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7F07EA"/>
    <w:multiLevelType w:val="hybridMultilevel"/>
    <w:tmpl w:val="B8DA2E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94FCF1D6">
      <w:start w:val="1"/>
      <w:numFmt w:val="lowerLetter"/>
      <w:lvlText w:val="%2)"/>
      <w:lvlJc w:val="left"/>
      <w:rPr>
        <w:rFonts w:ascii="Calibri" w:eastAsia="Times New Roman" w:hAnsi="Calibri" w:cs="Calibri" w:hint="default"/>
      </w:rPr>
    </w:lvl>
    <w:lvl w:ilvl="2" w:tplc="5FB4FAEC">
      <w:start w:val="1"/>
      <w:numFmt w:val="lowerLetter"/>
      <w:lvlText w:val="%3)"/>
      <w:lvlJc w:val="right"/>
      <w:pPr>
        <w:ind w:left="1800" w:hanging="180"/>
      </w:pPr>
      <w:rPr>
        <w:rFonts w:ascii="Calibri" w:eastAsiaTheme="minorEastAsia" w:hAnsi="Calibri" w:cs="Arial"/>
      </w:rPr>
    </w:lvl>
    <w:lvl w:ilvl="3" w:tplc="9200A9C2">
      <w:start w:val="1"/>
      <w:numFmt w:val="decimal"/>
      <w:lvlText w:val="%4."/>
      <w:lvlJc w:val="left"/>
      <w:pPr>
        <w:ind w:left="2520" w:hanging="360"/>
      </w:pPr>
      <w:rPr>
        <w:rFonts w:ascii="Calibri" w:hAnsi="Calibri" w:cs="Calibri" w:hint="default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1967466F"/>
    <w:multiLevelType w:val="hybridMultilevel"/>
    <w:tmpl w:val="D6285B4C"/>
    <w:lvl w:ilvl="0" w:tplc="0F0A5122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F4E2E90"/>
    <w:multiLevelType w:val="hybridMultilevel"/>
    <w:tmpl w:val="5BB24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2D2917"/>
    <w:multiLevelType w:val="hybridMultilevel"/>
    <w:tmpl w:val="8F703C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10FB5"/>
    <w:multiLevelType w:val="hybridMultilevel"/>
    <w:tmpl w:val="61F0B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884153"/>
    <w:multiLevelType w:val="hybridMultilevel"/>
    <w:tmpl w:val="AFBC4E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8A1F9F"/>
    <w:multiLevelType w:val="hybridMultilevel"/>
    <w:tmpl w:val="1EB696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130345"/>
    <w:multiLevelType w:val="hybridMultilevel"/>
    <w:tmpl w:val="EE5AA1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4E77B3"/>
    <w:multiLevelType w:val="hybridMultilevel"/>
    <w:tmpl w:val="B412B9F6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E133958"/>
    <w:multiLevelType w:val="hybridMultilevel"/>
    <w:tmpl w:val="5DFCE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5B7FC4"/>
    <w:multiLevelType w:val="hybridMultilevel"/>
    <w:tmpl w:val="BC9887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AF2026"/>
    <w:multiLevelType w:val="hybridMultilevel"/>
    <w:tmpl w:val="5A3A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4B2499B"/>
    <w:multiLevelType w:val="hybridMultilevel"/>
    <w:tmpl w:val="C48809F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A4FE4734">
      <w:start w:val="1"/>
      <w:numFmt w:val="decimal"/>
      <w:lvlText w:val="%3)"/>
      <w:lvlJc w:val="right"/>
      <w:pPr>
        <w:ind w:left="2520" w:hanging="180"/>
      </w:pPr>
      <w:rPr>
        <w:rFonts w:ascii="Calibri" w:eastAsiaTheme="minorEastAsia" w:hAnsi="Calibri" w:cs="Arial"/>
      </w:r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77134B2"/>
    <w:multiLevelType w:val="hybridMultilevel"/>
    <w:tmpl w:val="B45E24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AAA4E4E"/>
    <w:multiLevelType w:val="hybridMultilevel"/>
    <w:tmpl w:val="00D8B5B6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FFFFFFFF">
      <w:start w:val="1"/>
      <w:numFmt w:val="lowerLetter"/>
      <w:lvlText w:val="%2)"/>
      <w:lvlJc w:val="left"/>
      <w:rPr>
        <w:rFonts w:ascii="Calibri" w:eastAsia="Times New Roman" w:hAnsi="Calibri" w:cs="Calibri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3F81782B"/>
    <w:multiLevelType w:val="hybridMultilevel"/>
    <w:tmpl w:val="9656E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D916C2"/>
    <w:multiLevelType w:val="hybridMultilevel"/>
    <w:tmpl w:val="EAF69E24"/>
    <w:lvl w:ilvl="0" w:tplc="340CFC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22D009C"/>
    <w:multiLevelType w:val="hybridMultilevel"/>
    <w:tmpl w:val="911EB7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047A46"/>
    <w:multiLevelType w:val="hybridMultilevel"/>
    <w:tmpl w:val="5AE0B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73188F"/>
    <w:multiLevelType w:val="hybridMultilevel"/>
    <w:tmpl w:val="416C3AA0"/>
    <w:lvl w:ilvl="0" w:tplc="45D08BB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935A46"/>
    <w:multiLevelType w:val="hybridMultilevel"/>
    <w:tmpl w:val="BAC0E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B701A3A">
      <w:start w:val="1"/>
      <w:numFmt w:val="decimal"/>
      <w:lvlText w:val="%3)"/>
      <w:lvlJc w:val="left"/>
      <w:pPr>
        <w:ind w:left="2340" w:hanging="360"/>
      </w:pPr>
      <w:rPr>
        <w:rFonts w:ascii="Calibri" w:eastAsiaTheme="minorEastAsia" w:hAnsi="Calibri" w:cs="Calibri"/>
      </w:rPr>
    </w:lvl>
    <w:lvl w:ilvl="3" w:tplc="08FAD9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A92BB6"/>
    <w:multiLevelType w:val="hybridMultilevel"/>
    <w:tmpl w:val="FCF03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C050F9"/>
    <w:multiLevelType w:val="hybridMultilevel"/>
    <w:tmpl w:val="701E86EA"/>
    <w:lvl w:ilvl="0" w:tplc="0415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8" w15:restartNumberingAfterBreak="0">
    <w:nsid w:val="47DF687F"/>
    <w:multiLevelType w:val="hybridMultilevel"/>
    <w:tmpl w:val="B528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6F6133"/>
    <w:multiLevelType w:val="hybridMultilevel"/>
    <w:tmpl w:val="9E325F62"/>
    <w:lvl w:ilvl="0" w:tplc="99C81BB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ACAE219C">
      <w:start w:val="1"/>
      <w:numFmt w:val="decimal"/>
      <w:lvlText w:val="%2)"/>
      <w:lvlJc w:val="left"/>
      <w:pPr>
        <w:ind w:left="1800" w:hanging="360"/>
      </w:pPr>
      <w:rPr>
        <w:rFonts w:asciiTheme="minorHAnsi" w:eastAsia="Arial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1FB3E87"/>
    <w:multiLevelType w:val="hybridMultilevel"/>
    <w:tmpl w:val="EBF00C26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A866F018">
      <w:start w:val="1"/>
      <w:numFmt w:val="decimal"/>
      <w:lvlText w:val="%2."/>
      <w:lvlJc w:val="left"/>
      <w:pPr>
        <w:ind w:left="1140" w:hanging="360"/>
      </w:pPr>
      <w:rPr>
        <w:rFonts w:ascii="Calibri" w:eastAsiaTheme="minorEastAsia" w:hAnsi="Calibri" w:cs="Arial"/>
        <w:b/>
        <w:bCs/>
      </w:rPr>
    </w:lvl>
    <w:lvl w:ilvl="2" w:tplc="FFFFFFFF">
      <w:start w:val="1"/>
      <w:numFmt w:val="lowerRoman"/>
      <w:lvlText w:val="%3."/>
      <w:lvlJc w:val="right"/>
      <w:pPr>
        <w:ind w:left="1860" w:hanging="180"/>
      </w:pPr>
    </w:lvl>
    <w:lvl w:ilvl="3" w:tplc="CB08AF96">
      <w:start w:val="1"/>
      <w:numFmt w:val="decimal"/>
      <w:lvlText w:val="%4)"/>
      <w:lvlJc w:val="left"/>
      <w:pPr>
        <w:ind w:left="2580" w:hanging="360"/>
      </w:pPr>
      <w:rPr>
        <w:rFonts w:ascii="Calibri" w:eastAsiaTheme="minorEastAsia" w:hAnsi="Calibri" w:cs="Arial"/>
      </w:rPr>
    </w:lvl>
    <w:lvl w:ilvl="4" w:tplc="86EC6F36">
      <w:start w:val="1"/>
      <w:numFmt w:val="decimal"/>
      <w:lvlText w:val="%5"/>
      <w:lvlJc w:val="left"/>
      <w:pPr>
        <w:ind w:left="33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527769CD"/>
    <w:multiLevelType w:val="hybridMultilevel"/>
    <w:tmpl w:val="F46EE32A"/>
    <w:lvl w:ilvl="0" w:tplc="87B005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967C84"/>
    <w:multiLevelType w:val="hybridMultilevel"/>
    <w:tmpl w:val="4E601F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093499"/>
    <w:multiLevelType w:val="hybridMultilevel"/>
    <w:tmpl w:val="D59A10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97600F"/>
    <w:multiLevelType w:val="hybridMultilevel"/>
    <w:tmpl w:val="7DD824CC"/>
    <w:lvl w:ilvl="0" w:tplc="0960044A">
      <w:start w:val="1"/>
      <w:numFmt w:val="decimal"/>
      <w:lvlText w:val="%1."/>
      <w:lvlJc w:val="left"/>
      <w:pPr>
        <w:ind w:left="786" w:hanging="360"/>
      </w:pPr>
      <w:rPr>
        <w:rFonts w:asciiTheme="majorHAnsi" w:eastAsia="Calibri" w:hAnsiTheme="majorHAnsi" w:cs="Arial" w:hint="default"/>
        <w:b w:val="0"/>
        <w:bCs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5AC332D2"/>
    <w:multiLevelType w:val="hybridMultilevel"/>
    <w:tmpl w:val="038A3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E470F1"/>
    <w:multiLevelType w:val="hybridMultilevel"/>
    <w:tmpl w:val="2DF69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F477900"/>
    <w:multiLevelType w:val="hybridMultilevel"/>
    <w:tmpl w:val="70B8B080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D944B23E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5FBC0A0A"/>
    <w:multiLevelType w:val="hybridMultilevel"/>
    <w:tmpl w:val="4216C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AE47D8"/>
    <w:multiLevelType w:val="hybridMultilevel"/>
    <w:tmpl w:val="A4E2F3E0"/>
    <w:lvl w:ilvl="0" w:tplc="5A2821F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AE9296CE">
      <w:start w:val="1"/>
      <w:numFmt w:val="decimal"/>
      <w:lvlText w:val="%2)"/>
      <w:lvlJc w:val="left"/>
      <w:pPr>
        <w:ind w:left="1140" w:hanging="360"/>
      </w:pPr>
      <w:rPr>
        <w:rFonts w:ascii="Calibri" w:eastAsiaTheme="minorEastAsia" w:hAnsi="Calibri" w:cs="Arial"/>
      </w:rPr>
    </w:lvl>
    <w:lvl w:ilvl="2" w:tplc="5D1C5F8E">
      <w:start w:val="1"/>
      <w:numFmt w:val="lowerLetter"/>
      <w:lvlText w:val="%3)"/>
      <w:lvlJc w:val="right"/>
      <w:pPr>
        <w:ind w:left="1860" w:hanging="180"/>
      </w:pPr>
      <w:rPr>
        <w:rFonts w:ascii="Calibri" w:eastAsiaTheme="minorEastAsia" w:hAnsi="Calibri" w:cs="Arial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0" w15:restartNumberingAfterBreak="0">
    <w:nsid w:val="618A3471"/>
    <w:multiLevelType w:val="hybridMultilevel"/>
    <w:tmpl w:val="00D8B5B6"/>
    <w:lvl w:ilvl="0" w:tplc="BF76958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FFFFFFFF">
      <w:start w:val="1"/>
      <w:numFmt w:val="lowerLetter"/>
      <w:lvlText w:val="%2)"/>
      <w:lvlJc w:val="left"/>
      <w:rPr>
        <w:rFonts w:ascii="Calibri" w:eastAsia="Times New Roman" w:hAnsi="Calibri" w:cs="Calibri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65D55B56"/>
    <w:multiLevelType w:val="hybridMultilevel"/>
    <w:tmpl w:val="845089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4F62A5"/>
    <w:multiLevelType w:val="hybridMultilevel"/>
    <w:tmpl w:val="747088F6"/>
    <w:lvl w:ilvl="0" w:tplc="EF6A338E">
      <w:start w:val="1"/>
      <w:numFmt w:val="decimal"/>
      <w:lvlText w:val="%1)"/>
      <w:lvlJc w:val="left"/>
      <w:pPr>
        <w:ind w:left="720" w:hanging="360"/>
      </w:pPr>
      <w:rPr>
        <w:rFonts w:ascii="Calibri" w:eastAsiaTheme="minorEastAsia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B17074"/>
    <w:multiLevelType w:val="hybridMultilevel"/>
    <w:tmpl w:val="6F42AAD4"/>
    <w:lvl w:ilvl="0" w:tplc="F39400D8">
      <w:start w:val="1"/>
      <w:numFmt w:val="decimal"/>
      <w:lvlText w:val="%1."/>
      <w:lvlJc w:val="left"/>
      <w:pPr>
        <w:ind w:left="1156" w:hanging="360"/>
      </w:pPr>
      <w:rPr>
        <w:rFonts w:ascii="Calibri" w:eastAsia="Arial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1876" w:hanging="360"/>
      </w:pPr>
    </w:lvl>
    <w:lvl w:ilvl="2" w:tplc="0415001B" w:tentative="1">
      <w:start w:val="1"/>
      <w:numFmt w:val="lowerRoman"/>
      <w:lvlText w:val="%3."/>
      <w:lvlJc w:val="right"/>
      <w:pPr>
        <w:ind w:left="2596" w:hanging="180"/>
      </w:pPr>
    </w:lvl>
    <w:lvl w:ilvl="3" w:tplc="0415000F" w:tentative="1">
      <w:start w:val="1"/>
      <w:numFmt w:val="decimal"/>
      <w:lvlText w:val="%4."/>
      <w:lvlJc w:val="left"/>
      <w:pPr>
        <w:ind w:left="3316" w:hanging="360"/>
      </w:pPr>
    </w:lvl>
    <w:lvl w:ilvl="4" w:tplc="04150019" w:tentative="1">
      <w:start w:val="1"/>
      <w:numFmt w:val="lowerLetter"/>
      <w:lvlText w:val="%5."/>
      <w:lvlJc w:val="left"/>
      <w:pPr>
        <w:ind w:left="4036" w:hanging="360"/>
      </w:pPr>
    </w:lvl>
    <w:lvl w:ilvl="5" w:tplc="0415001B" w:tentative="1">
      <w:start w:val="1"/>
      <w:numFmt w:val="lowerRoman"/>
      <w:lvlText w:val="%6."/>
      <w:lvlJc w:val="right"/>
      <w:pPr>
        <w:ind w:left="4756" w:hanging="180"/>
      </w:pPr>
    </w:lvl>
    <w:lvl w:ilvl="6" w:tplc="0415000F" w:tentative="1">
      <w:start w:val="1"/>
      <w:numFmt w:val="decimal"/>
      <w:lvlText w:val="%7."/>
      <w:lvlJc w:val="left"/>
      <w:pPr>
        <w:ind w:left="5476" w:hanging="360"/>
      </w:pPr>
    </w:lvl>
    <w:lvl w:ilvl="7" w:tplc="04150019" w:tentative="1">
      <w:start w:val="1"/>
      <w:numFmt w:val="lowerLetter"/>
      <w:lvlText w:val="%8."/>
      <w:lvlJc w:val="left"/>
      <w:pPr>
        <w:ind w:left="6196" w:hanging="360"/>
      </w:pPr>
    </w:lvl>
    <w:lvl w:ilvl="8" w:tplc="0415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54" w15:restartNumberingAfterBreak="0">
    <w:nsid w:val="73F255C1"/>
    <w:multiLevelType w:val="hybridMultilevel"/>
    <w:tmpl w:val="0B0C222C"/>
    <w:lvl w:ilvl="0" w:tplc="FDB00FF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B95E8A"/>
    <w:multiLevelType w:val="hybridMultilevel"/>
    <w:tmpl w:val="60365644"/>
    <w:lvl w:ilvl="0" w:tplc="097E9A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6B981598">
      <w:start w:val="1"/>
      <w:numFmt w:val="decimal"/>
      <w:lvlText w:val="%2)"/>
      <w:lvlJc w:val="left"/>
      <w:pPr>
        <w:ind w:left="1440" w:hanging="360"/>
      </w:pPr>
      <w:rPr>
        <w:rFonts w:ascii="Calibri" w:eastAsiaTheme="minorEastAsia" w:hAnsi="Calibri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053097">
    <w:abstractNumId w:val="43"/>
  </w:num>
  <w:num w:numId="2" w16cid:durableId="443841417">
    <w:abstractNumId w:val="30"/>
  </w:num>
  <w:num w:numId="3" w16cid:durableId="1994408218">
    <w:abstractNumId w:val="12"/>
  </w:num>
  <w:num w:numId="4" w16cid:durableId="1210190077">
    <w:abstractNumId w:val="5"/>
  </w:num>
  <w:num w:numId="5" w16cid:durableId="1874999791">
    <w:abstractNumId w:val="34"/>
  </w:num>
  <w:num w:numId="6" w16cid:durableId="1013191736">
    <w:abstractNumId w:val="53"/>
  </w:num>
  <w:num w:numId="7" w16cid:durableId="1455292913">
    <w:abstractNumId w:val="10"/>
  </w:num>
  <w:num w:numId="8" w16cid:durableId="590510004">
    <w:abstractNumId w:val="27"/>
  </w:num>
  <w:num w:numId="9" w16cid:durableId="390347341">
    <w:abstractNumId w:val="24"/>
  </w:num>
  <w:num w:numId="10" w16cid:durableId="1394506052">
    <w:abstractNumId w:val="37"/>
  </w:num>
  <w:num w:numId="11" w16cid:durableId="1952395253">
    <w:abstractNumId w:val="44"/>
  </w:num>
  <w:num w:numId="12" w16cid:durableId="402802657">
    <w:abstractNumId w:val="41"/>
  </w:num>
  <w:num w:numId="13" w16cid:durableId="1095512477">
    <w:abstractNumId w:val="51"/>
  </w:num>
  <w:num w:numId="14" w16cid:durableId="409741814">
    <w:abstractNumId w:val="15"/>
  </w:num>
  <w:num w:numId="15" w16cid:durableId="2111270843">
    <w:abstractNumId w:val="26"/>
  </w:num>
  <w:num w:numId="16" w16cid:durableId="944731098">
    <w:abstractNumId w:val="54"/>
  </w:num>
  <w:num w:numId="17" w16cid:durableId="1081219083">
    <w:abstractNumId w:val="8"/>
  </w:num>
  <w:num w:numId="18" w16cid:durableId="100340399">
    <w:abstractNumId w:val="47"/>
  </w:num>
  <w:num w:numId="19" w16cid:durableId="110783393">
    <w:abstractNumId w:val="0"/>
  </w:num>
  <w:num w:numId="20" w16cid:durableId="1406295822">
    <w:abstractNumId w:val="22"/>
  </w:num>
  <w:num w:numId="21" w16cid:durableId="1627272577">
    <w:abstractNumId w:val="35"/>
  </w:num>
  <w:num w:numId="22" w16cid:durableId="1657412081">
    <w:abstractNumId w:val="39"/>
  </w:num>
  <w:num w:numId="23" w16cid:durableId="1985352209">
    <w:abstractNumId w:val="49"/>
  </w:num>
  <w:num w:numId="24" w16cid:durableId="1237319928">
    <w:abstractNumId w:val="19"/>
  </w:num>
  <w:num w:numId="25" w16cid:durableId="1380086588">
    <w:abstractNumId w:val="55"/>
  </w:num>
  <w:num w:numId="26" w16cid:durableId="134761674">
    <w:abstractNumId w:val="14"/>
  </w:num>
  <w:num w:numId="27" w16cid:durableId="839390480">
    <w:abstractNumId w:val="13"/>
  </w:num>
  <w:num w:numId="28" w16cid:durableId="919872900">
    <w:abstractNumId w:val="40"/>
  </w:num>
  <w:num w:numId="29" w16cid:durableId="1921668653">
    <w:abstractNumId w:val="50"/>
  </w:num>
  <w:num w:numId="30" w16cid:durableId="1073502080">
    <w:abstractNumId w:val="25"/>
  </w:num>
  <w:num w:numId="31" w16cid:durableId="367074937">
    <w:abstractNumId w:val="38"/>
  </w:num>
  <w:num w:numId="32" w16cid:durableId="795567628">
    <w:abstractNumId w:val="23"/>
  </w:num>
  <w:num w:numId="33" w16cid:durableId="630286790">
    <w:abstractNumId w:val="4"/>
  </w:num>
  <w:num w:numId="34" w16cid:durableId="285626965">
    <w:abstractNumId w:val="18"/>
  </w:num>
  <w:num w:numId="35" w16cid:durableId="1293175022">
    <w:abstractNumId w:val="7"/>
  </w:num>
  <w:num w:numId="36" w16cid:durableId="562720975">
    <w:abstractNumId w:val="32"/>
  </w:num>
  <w:num w:numId="37" w16cid:durableId="108479531">
    <w:abstractNumId w:val="52"/>
  </w:num>
  <w:num w:numId="38" w16cid:durableId="1612396435">
    <w:abstractNumId w:val="6"/>
  </w:num>
  <w:num w:numId="39" w16cid:durableId="791291522">
    <w:abstractNumId w:val="17"/>
  </w:num>
  <w:num w:numId="40" w16cid:durableId="44261178">
    <w:abstractNumId w:val="36"/>
  </w:num>
  <w:num w:numId="41" w16cid:durableId="144780540">
    <w:abstractNumId w:val="3"/>
  </w:num>
  <w:num w:numId="42" w16cid:durableId="1873687648">
    <w:abstractNumId w:val="2"/>
  </w:num>
  <w:num w:numId="43" w16cid:durableId="374813978">
    <w:abstractNumId w:val="28"/>
  </w:num>
  <w:num w:numId="44" w16cid:durableId="1985430595">
    <w:abstractNumId w:val="45"/>
  </w:num>
  <w:num w:numId="45" w16cid:durableId="90056040">
    <w:abstractNumId w:val="20"/>
  </w:num>
  <w:num w:numId="46" w16cid:durableId="1387144232">
    <w:abstractNumId w:val="33"/>
  </w:num>
  <w:num w:numId="47" w16cid:durableId="968436996">
    <w:abstractNumId w:val="48"/>
  </w:num>
  <w:num w:numId="48" w16cid:durableId="619529055">
    <w:abstractNumId w:val="1"/>
  </w:num>
  <w:num w:numId="49" w16cid:durableId="1144811890">
    <w:abstractNumId w:val="21"/>
  </w:num>
  <w:num w:numId="50" w16cid:durableId="2089300158">
    <w:abstractNumId w:val="31"/>
  </w:num>
  <w:num w:numId="51" w16cid:durableId="619381020">
    <w:abstractNumId w:val="16"/>
  </w:num>
  <w:num w:numId="52" w16cid:durableId="282614717">
    <w:abstractNumId w:val="9"/>
  </w:num>
  <w:num w:numId="53" w16cid:durableId="1353264223">
    <w:abstractNumId w:val="29"/>
  </w:num>
  <w:num w:numId="54" w16cid:durableId="846090990">
    <w:abstractNumId w:val="11"/>
  </w:num>
  <w:num w:numId="55" w16cid:durableId="634943271">
    <w:abstractNumId w:val="46"/>
  </w:num>
  <w:num w:numId="56" w16cid:durableId="29261240">
    <w:abstractNumId w:val="4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D45"/>
    <w:rsid w:val="00001E62"/>
    <w:rsid w:val="00013331"/>
    <w:rsid w:val="0005219F"/>
    <w:rsid w:val="00086CAE"/>
    <w:rsid w:val="00087FE1"/>
    <w:rsid w:val="000930F3"/>
    <w:rsid w:val="000931A4"/>
    <w:rsid w:val="00133053"/>
    <w:rsid w:val="00133B48"/>
    <w:rsid w:val="00143764"/>
    <w:rsid w:val="00150F91"/>
    <w:rsid w:val="001802F0"/>
    <w:rsid w:val="00183310"/>
    <w:rsid w:val="0018666E"/>
    <w:rsid w:val="001A0C14"/>
    <w:rsid w:val="001A2C62"/>
    <w:rsid w:val="001D05CC"/>
    <w:rsid w:val="00206D1C"/>
    <w:rsid w:val="002372CE"/>
    <w:rsid w:val="0026333C"/>
    <w:rsid w:val="002647ED"/>
    <w:rsid w:val="00270769"/>
    <w:rsid w:val="0027307D"/>
    <w:rsid w:val="00283E80"/>
    <w:rsid w:val="0029663B"/>
    <w:rsid w:val="002A20A5"/>
    <w:rsid w:val="00302BDB"/>
    <w:rsid w:val="00315749"/>
    <w:rsid w:val="00343561"/>
    <w:rsid w:val="00347A18"/>
    <w:rsid w:val="00366FEF"/>
    <w:rsid w:val="00384903"/>
    <w:rsid w:val="003D41E7"/>
    <w:rsid w:val="004225B1"/>
    <w:rsid w:val="004428AB"/>
    <w:rsid w:val="00461332"/>
    <w:rsid w:val="004B7FA9"/>
    <w:rsid w:val="0050231D"/>
    <w:rsid w:val="00522FC5"/>
    <w:rsid w:val="00547215"/>
    <w:rsid w:val="00550C77"/>
    <w:rsid w:val="00562EF8"/>
    <w:rsid w:val="00563881"/>
    <w:rsid w:val="0057604F"/>
    <w:rsid w:val="00577767"/>
    <w:rsid w:val="0058132F"/>
    <w:rsid w:val="005C268D"/>
    <w:rsid w:val="005C364C"/>
    <w:rsid w:val="00613D39"/>
    <w:rsid w:val="00614888"/>
    <w:rsid w:val="00620A0D"/>
    <w:rsid w:val="00632038"/>
    <w:rsid w:val="00650F8A"/>
    <w:rsid w:val="0069377D"/>
    <w:rsid w:val="006A160E"/>
    <w:rsid w:val="006A1D98"/>
    <w:rsid w:val="006A251D"/>
    <w:rsid w:val="006A56F3"/>
    <w:rsid w:val="006F6C62"/>
    <w:rsid w:val="0074103B"/>
    <w:rsid w:val="00741806"/>
    <w:rsid w:val="00755C8F"/>
    <w:rsid w:val="00761D45"/>
    <w:rsid w:val="007844A8"/>
    <w:rsid w:val="00787DCB"/>
    <w:rsid w:val="007A1C2F"/>
    <w:rsid w:val="007B20BA"/>
    <w:rsid w:val="007B7006"/>
    <w:rsid w:val="007F4247"/>
    <w:rsid w:val="00820032"/>
    <w:rsid w:val="00866BF3"/>
    <w:rsid w:val="00872006"/>
    <w:rsid w:val="00876FEF"/>
    <w:rsid w:val="00881B66"/>
    <w:rsid w:val="008A1049"/>
    <w:rsid w:val="008E0ECD"/>
    <w:rsid w:val="00904F3F"/>
    <w:rsid w:val="009359CA"/>
    <w:rsid w:val="0095122A"/>
    <w:rsid w:val="00956ED6"/>
    <w:rsid w:val="00982AA2"/>
    <w:rsid w:val="009D6CC1"/>
    <w:rsid w:val="00A03714"/>
    <w:rsid w:val="00A20B18"/>
    <w:rsid w:val="00A94B57"/>
    <w:rsid w:val="00AA1FB2"/>
    <w:rsid w:val="00AA56F0"/>
    <w:rsid w:val="00AD4473"/>
    <w:rsid w:val="00AD4A80"/>
    <w:rsid w:val="00B048AA"/>
    <w:rsid w:val="00B14276"/>
    <w:rsid w:val="00B2428A"/>
    <w:rsid w:val="00B308DC"/>
    <w:rsid w:val="00B40E6F"/>
    <w:rsid w:val="00B42E08"/>
    <w:rsid w:val="00B5041E"/>
    <w:rsid w:val="00B646EB"/>
    <w:rsid w:val="00B74341"/>
    <w:rsid w:val="00BA1F19"/>
    <w:rsid w:val="00BB7C6D"/>
    <w:rsid w:val="00BE06EB"/>
    <w:rsid w:val="00C01182"/>
    <w:rsid w:val="00C16183"/>
    <w:rsid w:val="00C17649"/>
    <w:rsid w:val="00C40BB6"/>
    <w:rsid w:val="00C41110"/>
    <w:rsid w:val="00C67A40"/>
    <w:rsid w:val="00C70655"/>
    <w:rsid w:val="00CD0D8D"/>
    <w:rsid w:val="00CE5E54"/>
    <w:rsid w:val="00D44F9E"/>
    <w:rsid w:val="00D65D2E"/>
    <w:rsid w:val="00D92439"/>
    <w:rsid w:val="00DF3A92"/>
    <w:rsid w:val="00E0236A"/>
    <w:rsid w:val="00E13ED2"/>
    <w:rsid w:val="00E15F47"/>
    <w:rsid w:val="00E3417A"/>
    <w:rsid w:val="00E45328"/>
    <w:rsid w:val="00E77995"/>
    <w:rsid w:val="00E84DC4"/>
    <w:rsid w:val="00EA517A"/>
    <w:rsid w:val="00ED35E1"/>
    <w:rsid w:val="00ED5ADA"/>
    <w:rsid w:val="00EE505A"/>
    <w:rsid w:val="00F32693"/>
    <w:rsid w:val="00F375D4"/>
    <w:rsid w:val="00F41561"/>
    <w:rsid w:val="00F51486"/>
    <w:rsid w:val="00F566C4"/>
    <w:rsid w:val="00F66D10"/>
    <w:rsid w:val="00F7607B"/>
    <w:rsid w:val="00FA1D9E"/>
    <w:rsid w:val="00FA5755"/>
    <w:rsid w:val="00FB082B"/>
    <w:rsid w:val="00FC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4AEC6"/>
  <w15:chartTrackingRefBased/>
  <w15:docId w15:val="{C460FE14-D9C3-44B6-9892-E30858A09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1D45"/>
    <w:pPr>
      <w:spacing w:after="0" w:line="276" w:lineRule="auto"/>
    </w:pPr>
    <w:rPr>
      <w:rFonts w:ascii="Arial" w:eastAsia="Arial" w:hAnsi="Arial" w:cs="Arial"/>
      <w:kern w:val="0"/>
      <w:lang w:val="uz-Cyrl-UZ" w:bidi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61D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61D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61D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61D4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z-Cyrl-UZ" w:bidi="ar-SA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761D4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z-Cyrl-UZ" w:bidi="ar-SA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61D4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uz-Cyrl-UZ" w:bidi="ar-SA"/>
      <w14:ligatures w14:val="none"/>
    </w:rPr>
  </w:style>
  <w:style w:type="paragraph" w:customStyle="1" w:styleId="ADRESAT">
    <w:name w:val="ADRESAT"/>
    <w:basedOn w:val="Normalny"/>
    <w:qFormat/>
    <w:rsid w:val="00761D45"/>
    <w:rPr>
      <w:rFonts w:ascii="Styrene A Bold" w:hAnsi="Styrene A Bold"/>
      <w:lang w:val="pl-PL"/>
    </w:rPr>
  </w:style>
  <w:style w:type="paragraph" w:customStyle="1" w:styleId="TEKSTGWNY">
    <w:name w:val="TEKST GŁÓWNY"/>
    <w:basedOn w:val="Normalny"/>
    <w:qFormat/>
    <w:rsid w:val="00761D45"/>
    <w:pPr>
      <w:widowControl w:val="0"/>
      <w:autoSpaceDE w:val="0"/>
      <w:autoSpaceDN w:val="0"/>
      <w:adjustRightInd w:val="0"/>
      <w:spacing w:line="360" w:lineRule="auto"/>
      <w:jc w:val="both"/>
      <w:textAlignment w:val="center"/>
    </w:pPr>
    <w:rPr>
      <w:rFonts w:cs="ArialMT"/>
      <w:color w:val="000000"/>
      <w:lang w:val="pl-PL"/>
    </w:rPr>
  </w:style>
  <w:style w:type="character" w:customStyle="1" w:styleId="Style1">
    <w:name w:val="Style1"/>
    <w:uiPriority w:val="1"/>
    <w:qFormat/>
    <w:rsid w:val="00761D45"/>
    <w:rPr>
      <w:rFonts w:ascii="Styrene A Bold" w:hAnsi="Styrene A Bold"/>
      <w:b/>
      <w:i w:val="0"/>
      <w:color w:val="000000" w:themeColor="text1"/>
      <w:sz w:val="22"/>
    </w:rPr>
  </w:style>
  <w:style w:type="paragraph" w:styleId="Nagwek">
    <w:name w:val="header"/>
    <w:basedOn w:val="Normalny"/>
    <w:link w:val="NagwekZnak"/>
    <w:uiPriority w:val="99"/>
    <w:unhideWhenUsed/>
    <w:rsid w:val="00761D45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1D45"/>
    <w:rPr>
      <w:rFonts w:ascii="Arial" w:eastAsia="Arial" w:hAnsi="Arial" w:cs="Arial"/>
      <w:kern w:val="0"/>
      <w:lang w:val="uz-Cyrl-UZ" w:bidi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761D45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1D45"/>
    <w:rPr>
      <w:rFonts w:ascii="Arial" w:eastAsia="Arial" w:hAnsi="Arial" w:cs="Arial"/>
      <w:kern w:val="0"/>
      <w:lang w:val="uz-Cyrl-UZ" w:bidi="ar-SA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1D45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D45"/>
    <w:rPr>
      <w:rFonts w:ascii="Lucida Grande CE" w:eastAsia="Arial" w:hAnsi="Lucida Grande CE" w:cs="Arial"/>
      <w:kern w:val="0"/>
      <w:sz w:val="18"/>
      <w:szCs w:val="18"/>
      <w:lang w:val="uz-Cyrl-UZ" w:bidi="ar-SA"/>
      <w14:ligatures w14:val="none"/>
    </w:rPr>
  </w:style>
  <w:style w:type="paragraph" w:customStyle="1" w:styleId="Normalny1">
    <w:name w:val="Normalny1"/>
    <w:rsid w:val="00761D45"/>
    <w:pPr>
      <w:spacing w:after="0" w:line="276" w:lineRule="auto"/>
    </w:pPr>
    <w:rPr>
      <w:rFonts w:ascii="Arial" w:eastAsia="Arial" w:hAnsi="Arial" w:cs="Arial"/>
      <w:kern w:val="0"/>
      <w:lang w:val="uz-Cyrl-UZ" w:bidi="ar-SA"/>
      <w14:ligatures w14:val="none"/>
    </w:rPr>
  </w:style>
  <w:style w:type="character" w:styleId="Hipercze">
    <w:name w:val="Hyperlink"/>
    <w:basedOn w:val="Domylnaczcionkaakapitu"/>
    <w:uiPriority w:val="99"/>
    <w:unhideWhenUsed/>
    <w:rsid w:val="00761D45"/>
    <w:rPr>
      <w:color w:val="0563C1" w:themeColor="hyperlink"/>
      <w:u w:val="single"/>
    </w:rPr>
  </w:style>
  <w:style w:type="character" w:styleId="Odwoaniedokomentarza">
    <w:name w:val="annotation reference"/>
    <w:uiPriority w:val="99"/>
    <w:unhideWhenUsed/>
    <w:rsid w:val="00761D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1D45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1D45"/>
    <w:rPr>
      <w:rFonts w:ascii="Calibri" w:eastAsia="Calibri" w:hAnsi="Calibri" w:cs="Times New Roman"/>
      <w:kern w:val="0"/>
      <w:sz w:val="20"/>
      <w:szCs w:val="20"/>
      <w:lang w:val="x-none" w:eastAsia="x-none" w:bidi="ar-SA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1D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1D45"/>
    <w:rPr>
      <w:rFonts w:ascii="Calibri" w:eastAsia="Calibri" w:hAnsi="Calibri" w:cs="Times New Roman"/>
      <w:b/>
      <w:bCs/>
      <w:kern w:val="0"/>
      <w:sz w:val="20"/>
      <w:szCs w:val="20"/>
      <w:lang w:val="x-none" w:eastAsia="x-none" w:bidi="ar-SA"/>
      <w14:ligatures w14:val="none"/>
    </w:rPr>
  </w:style>
  <w:style w:type="paragraph" w:customStyle="1" w:styleId="Kolorowecieniowanieakcent11">
    <w:name w:val="Kolorowe cieniowanie — akcent 11"/>
    <w:hidden/>
    <w:uiPriority w:val="99"/>
    <w:semiHidden/>
    <w:rsid w:val="00761D45"/>
    <w:pPr>
      <w:spacing w:after="0" w:line="240" w:lineRule="auto"/>
    </w:pPr>
    <w:rPr>
      <w:rFonts w:ascii="Calibri" w:eastAsia="Calibri" w:hAnsi="Calibri" w:cs="Times New Roman"/>
      <w:kern w:val="0"/>
      <w:lang w:bidi="ar-SA"/>
      <w14:ligatures w14:val="none"/>
    </w:rPr>
  </w:style>
  <w:style w:type="paragraph" w:customStyle="1" w:styleId="TYTUL">
    <w:name w:val="TYTUL"/>
    <w:basedOn w:val="Normalny"/>
    <w:rsid w:val="00761D45"/>
    <w:pPr>
      <w:spacing w:line="240" w:lineRule="auto"/>
    </w:pPr>
    <w:rPr>
      <w:rFonts w:ascii="Whitney Medium" w:eastAsia="Calibri" w:hAnsi="Whitney Medium" w:cs="Calibri"/>
      <w:sz w:val="28"/>
      <w:szCs w:val="28"/>
      <w:lang w:val="pl-PL"/>
    </w:rPr>
  </w:style>
  <w:style w:type="paragraph" w:customStyle="1" w:styleId="TEKSTPODSTAWOWY">
    <w:name w:val="TEKST PODSTAWOWY"/>
    <w:basedOn w:val="Normalny"/>
    <w:rsid w:val="00761D45"/>
    <w:pPr>
      <w:spacing w:after="200" w:line="240" w:lineRule="auto"/>
      <w:jc w:val="both"/>
    </w:pPr>
    <w:rPr>
      <w:rFonts w:ascii="Whitney Book" w:eastAsia="Calibri" w:hAnsi="Whitney Book" w:cs="Times New Roman"/>
      <w:color w:val="808080"/>
      <w:sz w:val="20"/>
      <w:szCs w:val="20"/>
      <w:lang w:val="pl-PL"/>
    </w:rPr>
  </w:style>
  <w:style w:type="paragraph" w:customStyle="1" w:styleId="STOPKA0">
    <w:name w:val="STOPKA"/>
    <w:basedOn w:val="Normalny"/>
    <w:rsid w:val="00761D45"/>
    <w:pPr>
      <w:autoSpaceDE w:val="0"/>
      <w:autoSpaceDN w:val="0"/>
      <w:adjustRightInd w:val="0"/>
      <w:spacing w:line="240" w:lineRule="auto"/>
      <w:jc w:val="right"/>
    </w:pPr>
    <w:rPr>
      <w:rFonts w:ascii="Whitney Book" w:eastAsia="Calibri" w:hAnsi="Whitney Book" w:cs="Calibri"/>
      <w:bCs/>
      <w:color w:val="808080"/>
      <w:lang w:val="pl-PL"/>
    </w:rPr>
  </w:style>
  <w:style w:type="paragraph" w:customStyle="1" w:styleId="Pa0">
    <w:name w:val="Pa0"/>
    <w:basedOn w:val="Normalny"/>
    <w:uiPriority w:val="99"/>
    <w:rsid w:val="00761D45"/>
    <w:pPr>
      <w:autoSpaceDE w:val="0"/>
      <w:autoSpaceDN w:val="0"/>
      <w:spacing w:line="241" w:lineRule="atLeast"/>
    </w:pPr>
    <w:rPr>
      <w:rFonts w:ascii="BellGothicEU" w:eastAsia="Calibri" w:hAnsi="BellGothicEU" w:cs="Times New Roman"/>
      <w:sz w:val="24"/>
      <w:szCs w:val="24"/>
      <w:lang w:val="pl-PL"/>
    </w:rPr>
  </w:style>
  <w:style w:type="paragraph" w:customStyle="1" w:styleId="LEAD">
    <w:name w:val="LEAD"/>
    <w:basedOn w:val="Normalny"/>
    <w:link w:val="LEADZnak"/>
    <w:rsid w:val="00761D45"/>
    <w:pPr>
      <w:spacing w:line="240" w:lineRule="auto"/>
    </w:pPr>
    <w:rPr>
      <w:rFonts w:ascii="Whitney Medium" w:eastAsia="Calibri" w:hAnsi="Whitney Medium" w:cs="Times New Roman"/>
      <w:sz w:val="28"/>
      <w:szCs w:val="28"/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1D45"/>
    <w:pPr>
      <w:spacing w:after="200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1D45"/>
    <w:rPr>
      <w:rFonts w:ascii="Calibri" w:eastAsia="Calibri" w:hAnsi="Calibri" w:cs="Times New Roman"/>
      <w:kern w:val="0"/>
      <w:sz w:val="20"/>
      <w:szCs w:val="20"/>
      <w:lang w:val="x-none" w:bidi="ar-SA"/>
      <w14:ligatures w14:val="none"/>
    </w:rPr>
  </w:style>
  <w:style w:type="character" w:customStyle="1" w:styleId="LEADZnak">
    <w:name w:val="LEAD Znak"/>
    <w:link w:val="LEAD"/>
    <w:rsid w:val="00761D45"/>
    <w:rPr>
      <w:rFonts w:ascii="Whitney Medium" w:eastAsia="Calibri" w:hAnsi="Whitney Medium" w:cs="Times New Roman"/>
      <w:kern w:val="0"/>
      <w:sz w:val="28"/>
      <w:szCs w:val="28"/>
      <w:lang w:val="x-none" w:bidi="ar-SA"/>
      <w14:ligatures w14:val="none"/>
    </w:rPr>
  </w:style>
  <w:style w:type="character" w:styleId="Odwoanieprzypisukocowego">
    <w:name w:val="endnote reference"/>
    <w:uiPriority w:val="99"/>
    <w:semiHidden/>
    <w:unhideWhenUsed/>
    <w:rsid w:val="00761D45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761D45"/>
    <w:pPr>
      <w:spacing w:line="360" w:lineRule="auto"/>
      <w:ind w:left="720"/>
      <w:contextualSpacing/>
    </w:pPr>
    <w:rPr>
      <w:rFonts w:ascii="Times New Roman" w:eastAsia="Times New Roman" w:hAnsi="Times New Roman" w:cs="Times New Roman"/>
      <w:szCs w:val="24"/>
      <w:lang w:val="pl-PL" w:eastAsia="pl-PL"/>
    </w:rPr>
  </w:style>
  <w:style w:type="paragraph" w:customStyle="1" w:styleId="MHZPtekstpodstawowy">
    <w:name w:val="MHZP_tekst podstawowy"/>
    <w:basedOn w:val="Normalny"/>
    <w:link w:val="MHZPtekstpodstawowyZnak"/>
    <w:qFormat/>
    <w:rsid w:val="00761D45"/>
    <w:pPr>
      <w:spacing w:after="200"/>
      <w:ind w:firstLine="708"/>
      <w:jc w:val="both"/>
    </w:pPr>
    <w:rPr>
      <w:rFonts w:ascii="Calibri" w:eastAsia="Times New Roman" w:hAnsi="Calibri" w:cs="Times New Roman"/>
      <w:iCs/>
      <w:color w:val="808080"/>
      <w:sz w:val="24"/>
      <w:szCs w:val="20"/>
      <w:shd w:val="clear" w:color="auto" w:fill="FFFFFF"/>
      <w:lang w:val="en-US"/>
    </w:rPr>
  </w:style>
  <w:style w:type="paragraph" w:customStyle="1" w:styleId="MHZPadresat">
    <w:name w:val="MHZP_adresat"/>
    <w:basedOn w:val="Normalny"/>
    <w:link w:val="MHZPadresatZnak"/>
    <w:qFormat/>
    <w:rsid w:val="00761D45"/>
    <w:pPr>
      <w:spacing w:line="240" w:lineRule="auto"/>
      <w:ind w:left="2880" w:firstLine="720"/>
      <w:jc w:val="right"/>
    </w:pPr>
    <w:rPr>
      <w:rFonts w:ascii="Calibri" w:eastAsia="Calibri" w:hAnsi="Calibri" w:cs="Times New Roman"/>
      <w:color w:val="A6A6A6"/>
      <w:lang w:val="x-none"/>
    </w:rPr>
  </w:style>
  <w:style w:type="character" w:customStyle="1" w:styleId="MHZPtekstpodstawowyZnak">
    <w:name w:val="MHZP_tekst podstawowy Znak"/>
    <w:link w:val="MHZPtekstpodstawowy"/>
    <w:rsid w:val="00761D45"/>
    <w:rPr>
      <w:rFonts w:ascii="Calibri" w:eastAsia="Times New Roman" w:hAnsi="Calibri" w:cs="Times New Roman"/>
      <w:iCs/>
      <w:color w:val="808080"/>
      <w:kern w:val="0"/>
      <w:sz w:val="24"/>
      <w:szCs w:val="20"/>
      <w:lang w:val="en-US" w:bidi="ar-SA"/>
      <w14:ligatures w14:val="none"/>
    </w:rPr>
  </w:style>
  <w:style w:type="paragraph" w:customStyle="1" w:styleId="MHZPdataisygnatura">
    <w:name w:val="MHZP_data i sygnatura"/>
    <w:basedOn w:val="Normalny"/>
    <w:link w:val="MHZPdataisygnaturaZnak"/>
    <w:rsid w:val="00761D45"/>
    <w:pPr>
      <w:spacing w:after="200" w:line="240" w:lineRule="auto"/>
      <w:jc w:val="right"/>
    </w:pPr>
    <w:rPr>
      <w:rFonts w:ascii="Calibri" w:eastAsia="Calibri" w:hAnsi="Calibri" w:cs="Times New Roman"/>
      <w:color w:val="A6A6A6"/>
      <w:sz w:val="20"/>
      <w:lang w:val="x-none"/>
    </w:rPr>
  </w:style>
  <w:style w:type="character" w:customStyle="1" w:styleId="MHZPadresatZnak">
    <w:name w:val="MHZP_adresat Znak"/>
    <w:link w:val="MHZPadresat"/>
    <w:rsid w:val="00761D45"/>
    <w:rPr>
      <w:rFonts w:ascii="Calibri" w:eastAsia="Calibri" w:hAnsi="Calibri" w:cs="Times New Roman"/>
      <w:color w:val="A6A6A6"/>
      <w:kern w:val="0"/>
      <w:lang w:val="x-none" w:bidi="ar-SA"/>
      <w14:ligatures w14:val="none"/>
    </w:rPr>
  </w:style>
  <w:style w:type="paragraph" w:customStyle="1" w:styleId="MHZPdata">
    <w:name w:val="MHZP_data"/>
    <w:basedOn w:val="MHZPdataisygnatura"/>
    <w:link w:val="MHZPdataZnak"/>
    <w:qFormat/>
    <w:rsid w:val="00761D45"/>
  </w:style>
  <w:style w:type="character" w:customStyle="1" w:styleId="MHZPdataisygnaturaZnak">
    <w:name w:val="MHZP_data i sygnatura Znak"/>
    <w:link w:val="MHZPdataisygnatura"/>
    <w:rsid w:val="00761D45"/>
    <w:rPr>
      <w:rFonts w:ascii="Calibri" w:eastAsia="Calibri" w:hAnsi="Calibri" w:cs="Times New Roman"/>
      <w:color w:val="A6A6A6"/>
      <w:kern w:val="0"/>
      <w:sz w:val="20"/>
      <w:lang w:val="x-none" w:bidi="ar-SA"/>
      <w14:ligatures w14:val="none"/>
    </w:rPr>
  </w:style>
  <w:style w:type="paragraph" w:customStyle="1" w:styleId="MHZPsygnatura">
    <w:name w:val="MHZP_sygnatura"/>
    <w:basedOn w:val="MHZPdataisygnatura"/>
    <w:link w:val="MHZPsygnaturaZnak"/>
    <w:qFormat/>
    <w:rsid w:val="00761D45"/>
    <w:pPr>
      <w:jc w:val="left"/>
    </w:pPr>
  </w:style>
  <w:style w:type="character" w:customStyle="1" w:styleId="MHZPdataZnak">
    <w:name w:val="MHZP_data Znak"/>
    <w:basedOn w:val="MHZPdataisygnaturaZnak"/>
    <w:link w:val="MHZPdata"/>
    <w:rsid w:val="00761D45"/>
    <w:rPr>
      <w:rFonts w:ascii="Calibri" w:eastAsia="Calibri" w:hAnsi="Calibri" w:cs="Times New Roman"/>
      <w:color w:val="A6A6A6"/>
      <w:kern w:val="0"/>
      <w:sz w:val="20"/>
      <w:lang w:val="x-none" w:bidi="ar-SA"/>
      <w14:ligatures w14:val="none"/>
    </w:rPr>
  </w:style>
  <w:style w:type="paragraph" w:customStyle="1" w:styleId="MHZPpodpisnadawcy">
    <w:name w:val="MHZP_podpis nadawcy"/>
    <w:basedOn w:val="Normalny"/>
    <w:link w:val="MHZPpodpisnadawcyZnak"/>
    <w:qFormat/>
    <w:rsid w:val="00761D45"/>
    <w:pPr>
      <w:spacing w:line="240" w:lineRule="auto"/>
      <w:ind w:left="6360" w:firstLine="12"/>
      <w:jc w:val="right"/>
    </w:pPr>
    <w:rPr>
      <w:rFonts w:ascii="Calibri" w:eastAsia="Calibri" w:hAnsi="Calibri" w:cs="Times New Roman"/>
      <w:i/>
      <w:color w:val="A6A6A6"/>
      <w:lang w:val="x-none"/>
    </w:rPr>
  </w:style>
  <w:style w:type="character" w:customStyle="1" w:styleId="MHZPsygnaturaZnak">
    <w:name w:val="MHZP_sygnatura Znak"/>
    <w:basedOn w:val="MHZPdataisygnaturaZnak"/>
    <w:link w:val="MHZPsygnatura"/>
    <w:rsid w:val="00761D45"/>
    <w:rPr>
      <w:rFonts w:ascii="Calibri" w:eastAsia="Calibri" w:hAnsi="Calibri" w:cs="Times New Roman"/>
      <w:color w:val="A6A6A6"/>
      <w:kern w:val="0"/>
      <w:sz w:val="20"/>
      <w:lang w:val="x-none" w:bidi="ar-SA"/>
      <w14:ligatures w14:val="none"/>
    </w:rPr>
  </w:style>
  <w:style w:type="paragraph" w:customStyle="1" w:styleId="redniasiatka21">
    <w:name w:val="Średnia siatka 21"/>
    <w:uiPriority w:val="1"/>
    <w:rsid w:val="00761D45"/>
    <w:pPr>
      <w:spacing w:after="0" w:line="240" w:lineRule="auto"/>
    </w:pPr>
    <w:rPr>
      <w:rFonts w:ascii="Calibri" w:eastAsia="Calibri" w:hAnsi="Calibri" w:cs="Times New Roman"/>
      <w:kern w:val="0"/>
      <w:lang w:bidi="ar-SA"/>
      <w14:ligatures w14:val="none"/>
    </w:rPr>
  </w:style>
  <w:style w:type="character" w:customStyle="1" w:styleId="MHZPpodpisnadawcyZnak">
    <w:name w:val="MHZP_podpis nadawcy Znak"/>
    <w:link w:val="MHZPpodpisnadawcy"/>
    <w:rsid w:val="00761D45"/>
    <w:rPr>
      <w:rFonts w:ascii="Calibri" w:eastAsia="Calibri" w:hAnsi="Calibri" w:cs="Times New Roman"/>
      <w:i/>
      <w:color w:val="A6A6A6"/>
      <w:kern w:val="0"/>
      <w:lang w:val="x-none" w:bidi="ar-SA"/>
      <w14:ligatures w14:val="none"/>
    </w:rPr>
  </w:style>
  <w:style w:type="paragraph" w:styleId="Tekstprzypisudolnego">
    <w:name w:val="footnote text"/>
    <w:basedOn w:val="Normalny"/>
    <w:link w:val="TekstprzypisudolnegoZnak"/>
    <w:uiPriority w:val="1"/>
    <w:unhideWhenUsed/>
    <w:qFormat/>
    <w:rsid w:val="00761D45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1"/>
    <w:rsid w:val="00761D45"/>
    <w:rPr>
      <w:rFonts w:ascii="Times New Roman" w:eastAsia="Times New Roman" w:hAnsi="Times New Roman" w:cs="Times New Roman"/>
      <w:kern w:val="0"/>
      <w:sz w:val="20"/>
      <w:szCs w:val="20"/>
      <w:lang w:val="en-US" w:eastAsia="ar-SA" w:bidi="ar-SA"/>
      <w14:ligatures w14:val="none"/>
    </w:rPr>
  </w:style>
  <w:style w:type="character" w:styleId="Odwoanieprzypisudolnego">
    <w:name w:val="footnote reference"/>
    <w:uiPriority w:val="99"/>
    <w:unhideWhenUsed/>
    <w:rsid w:val="00761D45"/>
    <w:rPr>
      <w:vertAlign w:val="superscript"/>
    </w:rPr>
  </w:style>
  <w:style w:type="paragraph" w:customStyle="1" w:styleId="rodkowy-akap">
    <w:name w:val="środkowy-akap"/>
    <w:basedOn w:val="Normalny"/>
    <w:link w:val="rodkowy-akapZnak"/>
    <w:qFormat/>
    <w:rsid w:val="00761D45"/>
    <w:pPr>
      <w:spacing w:after="120"/>
      <w:ind w:left="431"/>
    </w:pPr>
    <w:rPr>
      <w:rFonts w:ascii="Calibri" w:eastAsia="Times New Roman" w:hAnsi="Calibri" w:cs="Times New Roman"/>
      <w:lang w:val="pl-PL"/>
    </w:rPr>
  </w:style>
  <w:style w:type="paragraph" w:customStyle="1" w:styleId="stopka1">
    <w:name w:val="stopka"/>
    <w:basedOn w:val="Normalny"/>
    <w:link w:val="stopkaZnak0"/>
    <w:qFormat/>
    <w:rsid w:val="00761D45"/>
    <w:pPr>
      <w:spacing w:line="240" w:lineRule="auto"/>
      <w:ind w:left="431"/>
    </w:pPr>
    <w:rPr>
      <w:rFonts w:ascii="Calibri" w:eastAsia="Calibri" w:hAnsi="Calibri" w:cs="Times New Roman"/>
      <w:lang w:val="pl-PL"/>
    </w:rPr>
  </w:style>
  <w:style w:type="character" w:customStyle="1" w:styleId="rodkowy-akapZnak">
    <w:name w:val="środkowy-akap Znak"/>
    <w:link w:val="rodkowy-akap"/>
    <w:rsid w:val="00761D45"/>
    <w:rPr>
      <w:rFonts w:ascii="Calibri" w:eastAsia="Times New Roman" w:hAnsi="Calibri" w:cs="Times New Roman"/>
      <w:kern w:val="0"/>
      <w:lang w:bidi="ar-SA"/>
      <w14:ligatures w14:val="none"/>
    </w:rPr>
  </w:style>
  <w:style w:type="character" w:customStyle="1" w:styleId="stopkaZnak0">
    <w:name w:val="stopka Znak"/>
    <w:link w:val="stopka1"/>
    <w:rsid w:val="00761D45"/>
    <w:rPr>
      <w:rFonts w:ascii="Calibri" w:eastAsia="Calibri" w:hAnsi="Calibri" w:cs="Times New Roman"/>
      <w:kern w:val="0"/>
      <w:lang w:bidi="ar-SA"/>
      <w14:ligatures w14:val="none"/>
    </w:rPr>
  </w:style>
  <w:style w:type="paragraph" w:styleId="Akapitzlist">
    <w:name w:val="List Paragraph"/>
    <w:aliases w:val="L1,Numerowanie,Akapit z listą BS,Numeracja 1 poziom"/>
    <w:basedOn w:val="Normalny"/>
    <w:link w:val="AkapitzlistZnak"/>
    <w:uiPriority w:val="34"/>
    <w:qFormat/>
    <w:rsid w:val="00761D4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l-PL"/>
    </w:rPr>
  </w:style>
  <w:style w:type="character" w:customStyle="1" w:styleId="alb">
    <w:name w:val="a_lb"/>
    <w:basedOn w:val="Domylnaczcionkaakapitu"/>
    <w:rsid w:val="00761D45"/>
  </w:style>
  <w:style w:type="paragraph" w:styleId="NormalnyWeb">
    <w:name w:val="Normal (Web)"/>
    <w:basedOn w:val="Normalny"/>
    <w:uiPriority w:val="99"/>
    <w:unhideWhenUsed/>
    <w:rsid w:val="00761D4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761D45"/>
    <w:pPr>
      <w:spacing w:after="0" w:line="240" w:lineRule="auto"/>
    </w:pPr>
    <w:rPr>
      <w:rFonts w:ascii="Arial" w:eastAsia="Arial" w:hAnsi="Arial" w:cs="Arial"/>
      <w:kern w:val="0"/>
      <w:lang w:val="uz-Cyrl-UZ" w:bidi="ar-SA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1D4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61D45"/>
    <w:rPr>
      <w:color w:val="605E5C"/>
      <w:shd w:val="clear" w:color="auto" w:fill="E1DFDD"/>
    </w:rPr>
  </w:style>
  <w:style w:type="paragraph" w:customStyle="1" w:styleId="Default">
    <w:name w:val="Default"/>
    <w:rsid w:val="00761D4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kern w:val="0"/>
      <w:sz w:val="24"/>
      <w:szCs w:val="24"/>
      <w:lang w:bidi="ar-SA"/>
      <w14:ligatures w14:val="none"/>
    </w:rPr>
  </w:style>
  <w:style w:type="paragraph" w:styleId="Tekstpodstawowy0">
    <w:name w:val="Body Text"/>
    <w:basedOn w:val="Normalny"/>
    <w:link w:val="TekstpodstawowyZnak"/>
    <w:uiPriority w:val="99"/>
    <w:semiHidden/>
    <w:unhideWhenUsed/>
    <w:rsid w:val="00761D45"/>
    <w:pPr>
      <w:spacing w:after="120" w:line="240" w:lineRule="auto"/>
    </w:pPr>
    <w:rPr>
      <w:rFonts w:ascii="Calibri" w:eastAsiaTheme="minorHAnsi" w:hAnsi="Calibri" w:cs="Times New Roman"/>
      <w:lang w:val="pl-PL"/>
    </w:rPr>
  </w:style>
  <w:style w:type="character" w:customStyle="1" w:styleId="TekstpodstawowyZnak">
    <w:name w:val="Tekst podstawowy Znak"/>
    <w:basedOn w:val="Domylnaczcionkaakapitu"/>
    <w:link w:val="Tekstpodstawowy0"/>
    <w:uiPriority w:val="99"/>
    <w:semiHidden/>
    <w:rsid w:val="00761D45"/>
    <w:rPr>
      <w:rFonts w:ascii="Calibri" w:hAnsi="Calibri" w:cs="Times New Roman"/>
      <w:kern w:val="0"/>
      <w:lang w:bidi="ar-SA"/>
      <w14:ligatures w14:val="none"/>
    </w:rPr>
  </w:style>
  <w:style w:type="character" w:customStyle="1" w:styleId="Heading1">
    <w:name w:val="Heading #1_"/>
    <w:basedOn w:val="Domylnaczcionkaakapitu"/>
    <w:link w:val="Heading10"/>
    <w:rsid w:val="00761D45"/>
    <w:rPr>
      <w:rFonts w:ascii="Calibri" w:eastAsia="Calibri" w:hAnsi="Calibri" w:cs="Calibri"/>
      <w:b/>
      <w:bCs/>
      <w:shd w:val="clear" w:color="auto" w:fill="FFFFFF"/>
    </w:rPr>
  </w:style>
  <w:style w:type="paragraph" w:customStyle="1" w:styleId="Heading10">
    <w:name w:val="Heading #1"/>
    <w:basedOn w:val="Normalny"/>
    <w:link w:val="Heading1"/>
    <w:rsid w:val="00761D45"/>
    <w:pPr>
      <w:widowControl w:val="0"/>
      <w:shd w:val="clear" w:color="auto" w:fill="FFFFFF"/>
      <w:spacing w:line="271" w:lineRule="auto"/>
      <w:jc w:val="center"/>
      <w:outlineLvl w:val="0"/>
    </w:pPr>
    <w:rPr>
      <w:rFonts w:ascii="Calibri" w:eastAsia="Calibri" w:hAnsi="Calibri" w:cs="Calibri"/>
      <w:b/>
      <w:bCs/>
      <w:kern w:val="2"/>
      <w:lang w:val="pl-PL" w:bidi="he-IL"/>
      <w14:ligatures w14:val="standardContextua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1D45"/>
    <w:rPr>
      <w:color w:val="605E5C"/>
      <w:shd w:val="clear" w:color="auto" w:fill="E1DFDD"/>
    </w:rPr>
  </w:style>
  <w:style w:type="paragraph" w:customStyle="1" w:styleId="ZnakZnak">
    <w:name w:val="Znak Znak"/>
    <w:basedOn w:val="Normalny"/>
    <w:rsid w:val="00761D45"/>
    <w:pPr>
      <w:spacing w:line="240" w:lineRule="auto"/>
    </w:pPr>
    <w:rPr>
      <w:rFonts w:eastAsia="Times New Roman" w:cs="Times New Roman"/>
      <w:sz w:val="20"/>
      <w:szCs w:val="24"/>
      <w:lang w:val="pl-PL" w:eastAsia="pl-PL"/>
    </w:rPr>
  </w:style>
  <w:style w:type="character" w:customStyle="1" w:styleId="AkapitzlistZnak">
    <w:name w:val="Akapit z listą Znak"/>
    <w:aliases w:val="L1 Znak,Numerowanie Znak,Akapit z listą BS Znak,Numeracja 1 poziom Znak"/>
    <w:link w:val="Akapitzlist"/>
    <w:uiPriority w:val="34"/>
    <w:locked/>
    <w:rsid w:val="00761D45"/>
    <w:rPr>
      <w:kern w:val="0"/>
      <w:lang w:bidi="ar-SA"/>
      <w14:ligatures w14:val="none"/>
    </w:rPr>
  </w:style>
  <w:style w:type="table" w:styleId="Tabela-Siatka">
    <w:name w:val="Table Grid"/>
    <w:basedOn w:val="Standardowy"/>
    <w:uiPriority w:val="59"/>
    <w:rsid w:val="00761D45"/>
    <w:pPr>
      <w:spacing w:after="0" w:line="240" w:lineRule="auto"/>
    </w:pPr>
    <w:rPr>
      <w:rFonts w:ascii="Styrene A Regular" w:eastAsiaTheme="minorEastAsia" w:hAnsi="Styrene A Regular"/>
      <w:color w:val="000000" w:themeColor="text1"/>
      <w:kern w:val="0"/>
      <w:lang w:val="cs-CZ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61D45"/>
    <w:pPr>
      <w:spacing w:after="0" w:line="240" w:lineRule="auto"/>
    </w:pPr>
    <w:rPr>
      <w:kern w:val="0"/>
      <w:lang w:bidi="ar-SA"/>
      <w14:ligatures w14:val="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761D4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61D45"/>
    <w:rPr>
      <w:rFonts w:ascii="Arial" w:eastAsia="Arial" w:hAnsi="Arial" w:cs="Arial"/>
      <w:kern w:val="0"/>
      <w:lang w:val="uz-Cyrl-UZ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1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sosinski@polin.pl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polin.pl" TargetMode="Externa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24</Pages>
  <Words>4484</Words>
  <Characters>26904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Regulaminu konkursu ofert – Założenia dla Najemcy</dc:title>
  <dc:subject/>
  <dc:creator>Małgorzata Berger-Jankowska</dc:creator>
  <cp:keywords/>
  <dc:description/>
  <cp:lastModifiedBy>Natalia Popławska</cp:lastModifiedBy>
  <cp:revision>112</cp:revision>
  <dcterms:created xsi:type="dcterms:W3CDTF">2023-03-23T09:47:00Z</dcterms:created>
  <dcterms:modified xsi:type="dcterms:W3CDTF">2023-04-11T09:26:00Z</dcterms:modified>
</cp:coreProperties>
</file>