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14" w:rsidRDefault="00AB7514" w:rsidP="0020396C">
      <w:pPr>
        <w:spacing w:line="360" w:lineRule="auto"/>
      </w:pPr>
    </w:p>
    <w:p w:rsidR="00AB7514" w:rsidRPr="0052197D" w:rsidRDefault="00AB7514" w:rsidP="0020396C">
      <w:pPr>
        <w:spacing w:line="360" w:lineRule="auto"/>
        <w:rPr>
          <w:sz w:val="24"/>
          <w:szCs w:val="24"/>
        </w:rPr>
      </w:pPr>
    </w:p>
    <w:p w:rsidR="00FE41A8" w:rsidRPr="0020396C" w:rsidRDefault="00AB7514" w:rsidP="0020396C">
      <w:pPr>
        <w:pStyle w:val="Nagwek1"/>
        <w:spacing w:line="360" w:lineRule="auto"/>
        <w:rPr>
          <w:rFonts w:asciiTheme="minorHAnsi" w:hAnsiTheme="minorHAnsi"/>
          <w:b/>
          <w:color w:val="auto"/>
        </w:rPr>
      </w:pPr>
      <w:bookmarkStart w:id="0" w:name="_GoBack"/>
      <w:r w:rsidRPr="0020396C">
        <w:rPr>
          <w:rFonts w:asciiTheme="minorHAnsi" w:hAnsiTheme="minorHAnsi"/>
          <w:b/>
          <w:color w:val="auto"/>
        </w:rPr>
        <w:t>Załącznik nr</w:t>
      </w:r>
      <w:r w:rsidR="00FE41A8" w:rsidRPr="0020396C">
        <w:rPr>
          <w:rFonts w:asciiTheme="minorHAnsi" w:hAnsiTheme="minorHAnsi"/>
          <w:b/>
          <w:color w:val="auto"/>
        </w:rPr>
        <w:t xml:space="preserve"> 5</w:t>
      </w:r>
      <w:r w:rsidRPr="0020396C">
        <w:rPr>
          <w:rFonts w:asciiTheme="minorHAnsi" w:hAnsiTheme="minorHAnsi"/>
          <w:b/>
          <w:color w:val="auto"/>
        </w:rPr>
        <w:t xml:space="preserve"> </w:t>
      </w:r>
      <w:bookmarkEnd w:id="0"/>
    </w:p>
    <w:p w:rsidR="00AB7514" w:rsidRPr="0052197D" w:rsidRDefault="00FE41A8" w:rsidP="0020396C">
      <w:pPr>
        <w:spacing w:line="360" w:lineRule="auto"/>
        <w:rPr>
          <w:b/>
          <w:sz w:val="28"/>
          <w:szCs w:val="28"/>
        </w:rPr>
      </w:pPr>
      <w:r w:rsidRPr="0052197D">
        <w:rPr>
          <w:b/>
          <w:sz w:val="28"/>
          <w:szCs w:val="28"/>
        </w:rPr>
        <w:t>I</w:t>
      </w:r>
      <w:r w:rsidR="00AB7514" w:rsidRPr="0052197D">
        <w:rPr>
          <w:b/>
          <w:sz w:val="28"/>
          <w:szCs w:val="28"/>
        </w:rPr>
        <w:t>nformacja na temat warunku transportu elementów instalacji w obrębie najbliższego terenu</w:t>
      </w:r>
    </w:p>
    <w:p w:rsidR="000236F1" w:rsidRPr="0052197D" w:rsidRDefault="00AB7514" w:rsidP="0020396C">
      <w:pPr>
        <w:spacing w:line="360" w:lineRule="auto"/>
        <w:rPr>
          <w:sz w:val="24"/>
          <w:szCs w:val="24"/>
        </w:rPr>
      </w:pPr>
      <w:r w:rsidRPr="0052197D">
        <w:rPr>
          <w:sz w:val="24"/>
          <w:szCs w:val="24"/>
        </w:rPr>
        <w:t xml:space="preserve">Chodniki, alejki, placyki przy pomniku Bohaterów Getta przystosowane są wyłącznie </w:t>
      </w:r>
      <w:r w:rsidR="0052197D">
        <w:rPr>
          <w:sz w:val="24"/>
          <w:szCs w:val="24"/>
        </w:rPr>
        <w:br/>
      </w:r>
      <w:r w:rsidRPr="0052197D">
        <w:rPr>
          <w:sz w:val="24"/>
          <w:szCs w:val="24"/>
        </w:rPr>
        <w:t>do ruchu pieszego i rowerowego. Nie ma możliwości wjazdu pojazdów mechanicznych mogących powodować uszkodzenia nawierzchni zarówno utwardzonej jak i trawników.</w:t>
      </w:r>
      <w:r w:rsidR="005E4AB0" w:rsidRPr="0052197D">
        <w:rPr>
          <w:sz w:val="24"/>
          <w:szCs w:val="24"/>
        </w:rPr>
        <w:t xml:space="preserve"> </w:t>
      </w:r>
      <w:r w:rsidR="0052197D">
        <w:rPr>
          <w:sz w:val="24"/>
          <w:szCs w:val="24"/>
        </w:rPr>
        <w:br/>
      </w:r>
      <w:r w:rsidR="005E4AB0" w:rsidRPr="0052197D">
        <w:rPr>
          <w:sz w:val="24"/>
          <w:szCs w:val="24"/>
        </w:rPr>
        <w:t xml:space="preserve">W celu rozładunku i załadunku </w:t>
      </w:r>
      <w:r w:rsidR="00AF152D" w:rsidRPr="0052197D">
        <w:rPr>
          <w:sz w:val="24"/>
          <w:szCs w:val="24"/>
        </w:rPr>
        <w:t xml:space="preserve">elementów Instalacji należy korzystać z ogólnodostępnych parkingów usytuowanych w sąsiedztwie. </w:t>
      </w:r>
    </w:p>
    <w:p w:rsidR="000236F1" w:rsidRPr="0052197D" w:rsidRDefault="000236F1" w:rsidP="0020396C">
      <w:pPr>
        <w:spacing w:line="360" w:lineRule="auto"/>
        <w:rPr>
          <w:sz w:val="24"/>
          <w:szCs w:val="24"/>
        </w:rPr>
      </w:pPr>
    </w:p>
    <w:sectPr w:rsidR="000236F1" w:rsidRPr="0052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4"/>
    <w:rsid w:val="000236F1"/>
    <w:rsid w:val="0020396C"/>
    <w:rsid w:val="0052197D"/>
    <w:rsid w:val="005E4AB0"/>
    <w:rsid w:val="008E53E8"/>
    <w:rsid w:val="00AB7514"/>
    <w:rsid w:val="00AF152D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F568"/>
  <w15:docId w15:val="{C0EE4725-DB59-4F4B-92D2-5E6FCA8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Lewandowska Kinga</dc:creator>
  <cp:lastModifiedBy>Cybulska Aleksandra</cp:lastModifiedBy>
  <cp:revision>2</cp:revision>
  <dcterms:created xsi:type="dcterms:W3CDTF">2020-03-06T12:16:00Z</dcterms:created>
  <dcterms:modified xsi:type="dcterms:W3CDTF">2020-03-06T12:16:00Z</dcterms:modified>
</cp:coreProperties>
</file>