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CA" w:rsidRPr="00EE6BD8" w:rsidRDefault="00637ACA" w:rsidP="00637ACA">
      <w:pPr>
        <w:rPr>
          <w:b/>
          <w:color w:val="00A99D"/>
          <w:sz w:val="24"/>
          <w:szCs w:val="24"/>
          <w:lang w:val="en-US"/>
        </w:rPr>
      </w:pPr>
    </w:p>
    <w:p w:rsidR="00637ACA" w:rsidRPr="00EE6BD8" w:rsidRDefault="00637ACA" w:rsidP="00637ACA">
      <w:pPr>
        <w:rPr>
          <w:b/>
          <w:color w:val="00A99D"/>
          <w:sz w:val="24"/>
          <w:szCs w:val="24"/>
          <w:lang w:val="en-US"/>
        </w:rPr>
      </w:pPr>
    </w:p>
    <w:p w:rsidR="00637ACA" w:rsidRPr="00885EB8" w:rsidRDefault="00637ACA" w:rsidP="00637ACA">
      <w:pPr>
        <w:jc w:val="center"/>
        <w:rPr>
          <w:b/>
          <w:color w:val="52C6D5"/>
          <w:sz w:val="36"/>
          <w:szCs w:val="36"/>
          <w:lang w:val="en-US"/>
        </w:rPr>
      </w:pPr>
      <w:r w:rsidRPr="00885EB8">
        <w:rPr>
          <w:b/>
          <w:color w:val="52C6D5"/>
          <w:sz w:val="36"/>
          <w:szCs w:val="36"/>
          <w:lang w:val="en-US"/>
        </w:rPr>
        <w:t>POLIN MUSEUM OF HISTORY OF POLISH JEWS BUILDING</w:t>
      </w:r>
    </w:p>
    <w:p w:rsidR="00637ACA" w:rsidRPr="00EE6BD8" w:rsidRDefault="00637ACA" w:rsidP="00637ACA">
      <w:pPr>
        <w:jc w:val="center"/>
        <w:rPr>
          <w:b/>
          <w:color w:val="00A99D"/>
          <w:sz w:val="24"/>
          <w:szCs w:val="24"/>
          <w:lang w:val="en-US"/>
        </w:rPr>
      </w:pPr>
    </w:p>
    <w:p w:rsidR="00637ACA" w:rsidRDefault="00637ACA" w:rsidP="00637ACA">
      <w:pPr>
        <w:rPr>
          <w:b/>
          <w:color w:val="595959"/>
          <w:sz w:val="24"/>
          <w:szCs w:val="24"/>
          <w:lang w:val="en-US"/>
        </w:rPr>
      </w:pPr>
    </w:p>
    <w:p w:rsidR="00805942" w:rsidRPr="00EE6BD8" w:rsidRDefault="00805942" w:rsidP="00637ACA">
      <w:pPr>
        <w:rPr>
          <w:b/>
          <w:color w:val="595959"/>
          <w:sz w:val="24"/>
          <w:szCs w:val="24"/>
          <w:lang w:val="en-US"/>
        </w:rPr>
      </w:pPr>
    </w:p>
    <w:p w:rsidR="00637ACA" w:rsidRPr="002E471C" w:rsidRDefault="00637ACA" w:rsidP="00805942">
      <w:pPr>
        <w:widowControl w:val="0"/>
        <w:autoSpaceDE w:val="0"/>
        <w:autoSpaceDN w:val="0"/>
        <w:adjustRightInd w:val="0"/>
        <w:spacing w:line="276" w:lineRule="auto"/>
        <w:jc w:val="both"/>
        <w:rPr>
          <w:rFonts w:cs="Calibri"/>
          <w:b/>
          <w:color w:val="808080" w:themeColor="background1" w:themeShade="80"/>
          <w:sz w:val="24"/>
          <w:szCs w:val="24"/>
          <w:lang w:val="en-US"/>
        </w:rPr>
      </w:pPr>
      <w:r w:rsidRPr="002E471C">
        <w:rPr>
          <w:b/>
          <w:color w:val="808080" w:themeColor="background1" w:themeShade="80"/>
          <w:sz w:val="24"/>
          <w:szCs w:val="24"/>
          <w:lang w:val="en-US"/>
        </w:rPr>
        <w:t>POLIN Museum of the History of Polish Jews stands in what once was the heart of Jewish Warsaw. A place where streets that no longer exist were once bustling with life. It was the hub of city life, with</w:t>
      </w:r>
      <w:r w:rsidRPr="002E471C">
        <w:rPr>
          <w:rFonts w:cs="Calibri"/>
          <w:b/>
          <w:color w:val="808080" w:themeColor="background1" w:themeShade="80"/>
          <w:sz w:val="24"/>
          <w:szCs w:val="24"/>
          <w:lang w:val="en-US"/>
        </w:rPr>
        <w:t xml:space="preserve"> cafés, theaters, cinemas, cabarets, shops and boutiques, schools, synagogues and markets crowded into every corner. One could hear laughter, shouting and conversations: in Yiddish, Hebrew, Polish. During World War II, the Germans turned this area into the Warsaw Ghetto. After the war, it became a place haunted by ruins. A gap in space and memory, crying to be filled.</w:t>
      </w:r>
    </w:p>
    <w:p w:rsidR="00637ACA" w:rsidRPr="00EE6BD8" w:rsidRDefault="00637ACA" w:rsidP="00805942">
      <w:pPr>
        <w:widowControl w:val="0"/>
        <w:autoSpaceDE w:val="0"/>
        <w:autoSpaceDN w:val="0"/>
        <w:adjustRightInd w:val="0"/>
        <w:spacing w:line="276" w:lineRule="auto"/>
        <w:jc w:val="both"/>
        <w:rPr>
          <w:sz w:val="24"/>
          <w:szCs w:val="24"/>
          <w:lang w:val="en-US"/>
        </w:rPr>
      </w:pPr>
    </w:p>
    <w:p w:rsidR="00637ACA" w:rsidRPr="00EE6BD8" w:rsidRDefault="00637ACA" w:rsidP="00805942">
      <w:pPr>
        <w:widowControl w:val="0"/>
        <w:autoSpaceDE w:val="0"/>
        <w:autoSpaceDN w:val="0"/>
        <w:adjustRightInd w:val="0"/>
        <w:spacing w:line="276" w:lineRule="auto"/>
        <w:jc w:val="both"/>
        <w:rPr>
          <w:sz w:val="24"/>
          <w:szCs w:val="24"/>
          <w:lang w:val="en-US"/>
        </w:rPr>
      </w:pPr>
      <w:r w:rsidRPr="00EE6BD8">
        <w:rPr>
          <w:sz w:val="24"/>
          <w:szCs w:val="24"/>
          <w:lang w:val="en-US"/>
        </w:rPr>
        <w:t>POLIN Museum building stands in a symbolic place. The edifice, facing the Monument to the Ghetto Heroes, surrounded on all sides by grey apartment buildings raised after the war on the ruins of the Ghetto, illuminates a square once teeming with life and filled with the district’s Polish and Jewish inhabitants. The simple, cool, static mass, clad in copper and glass, is split by an undulating, living, dynamic fissure. A chasm, rift, symbolizing the traumatic break in the thousand-year history of Polish Jews – the Holocaust. A break, but not an end.</w:t>
      </w:r>
    </w:p>
    <w:p w:rsidR="00637ACA" w:rsidRPr="00EE6BD8" w:rsidRDefault="00637ACA" w:rsidP="00805942">
      <w:pPr>
        <w:widowControl w:val="0"/>
        <w:autoSpaceDE w:val="0"/>
        <w:autoSpaceDN w:val="0"/>
        <w:adjustRightInd w:val="0"/>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The monumental </w:t>
      </w:r>
      <w:r w:rsidR="006A3249">
        <w:rPr>
          <w:sz w:val="24"/>
          <w:szCs w:val="24"/>
          <w:lang w:val="en-US"/>
        </w:rPr>
        <w:t>m</w:t>
      </w:r>
      <w:r w:rsidRPr="00EE6BD8">
        <w:rPr>
          <w:sz w:val="24"/>
          <w:szCs w:val="24"/>
          <w:lang w:val="en-US"/>
        </w:rPr>
        <w:t xml:space="preserve">ain </w:t>
      </w:r>
      <w:r w:rsidR="006A3249">
        <w:rPr>
          <w:sz w:val="24"/>
          <w:szCs w:val="24"/>
          <w:lang w:val="en-US"/>
        </w:rPr>
        <w:t>h</w:t>
      </w:r>
      <w:r w:rsidRPr="00EE6BD8">
        <w:rPr>
          <w:sz w:val="24"/>
          <w:szCs w:val="24"/>
          <w:lang w:val="en-US"/>
        </w:rPr>
        <w:t>all will be where visitors begin and end their journey. A bridge suspended over it connects the two parts of the structure, as if binding the past with the future, bridging the rift.</w:t>
      </w:r>
    </w:p>
    <w:p w:rsidR="00637ACA" w:rsidRPr="00EE6BD8" w:rsidRDefault="00637ACA"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Creating an architectural concept to reflect such a particular history and for such a particular institution was no easy task. The design – the work of a Finnish studio, </w:t>
      </w:r>
      <w:proofErr w:type="spellStart"/>
      <w:r w:rsidRPr="00EE6BD8">
        <w:rPr>
          <w:sz w:val="24"/>
          <w:szCs w:val="24"/>
          <w:lang w:val="en-US"/>
        </w:rPr>
        <w:t>Lahdelma</w:t>
      </w:r>
      <w:proofErr w:type="spellEnd"/>
      <w:r w:rsidRPr="00EE6BD8">
        <w:rPr>
          <w:sz w:val="24"/>
          <w:szCs w:val="24"/>
          <w:lang w:val="en-US"/>
        </w:rPr>
        <w:t xml:space="preserve"> and </w:t>
      </w:r>
      <w:proofErr w:type="spellStart"/>
      <w:r w:rsidRPr="00EE6BD8">
        <w:rPr>
          <w:rFonts w:cs="Calibri"/>
          <w:sz w:val="24"/>
          <w:szCs w:val="24"/>
          <w:lang w:val="en-US"/>
        </w:rPr>
        <w:t>Mahlamäki</w:t>
      </w:r>
      <w:proofErr w:type="spellEnd"/>
      <w:r w:rsidRPr="00EE6BD8">
        <w:rPr>
          <w:sz w:val="24"/>
          <w:szCs w:val="24"/>
          <w:lang w:val="en-US"/>
        </w:rPr>
        <w:t xml:space="preserve"> was chosen in 2005 in an international architectural competition headed by Bohdan </w:t>
      </w:r>
      <w:proofErr w:type="spellStart"/>
      <w:r w:rsidRPr="00EE6BD8">
        <w:rPr>
          <w:sz w:val="24"/>
          <w:szCs w:val="24"/>
          <w:lang w:val="en-US"/>
        </w:rPr>
        <w:t>Paczowski</w:t>
      </w:r>
      <w:proofErr w:type="spellEnd"/>
      <w:r w:rsidRPr="00EE6BD8">
        <w:rPr>
          <w:sz w:val="24"/>
          <w:szCs w:val="24"/>
          <w:lang w:val="en-US"/>
        </w:rPr>
        <w:t xml:space="preserve">. The organizers received over 100 submissions from all over the world. World renowned architectural studios and architects took part, including </w:t>
      </w:r>
      <w:proofErr w:type="spellStart"/>
      <w:r w:rsidRPr="00EE6BD8">
        <w:rPr>
          <w:sz w:val="24"/>
          <w:szCs w:val="24"/>
          <w:lang w:val="en-US"/>
        </w:rPr>
        <w:t>Zvi</w:t>
      </w:r>
      <w:proofErr w:type="spellEnd"/>
      <w:r w:rsidRPr="00EE6BD8">
        <w:rPr>
          <w:sz w:val="24"/>
          <w:szCs w:val="24"/>
          <w:lang w:val="en-US"/>
        </w:rPr>
        <w:t xml:space="preserve"> Hecker, </w:t>
      </w:r>
      <w:proofErr w:type="spellStart"/>
      <w:r w:rsidRPr="00EE6BD8">
        <w:rPr>
          <w:sz w:val="24"/>
          <w:szCs w:val="24"/>
          <w:lang w:val="en-US"/>
        </w:rPr>
        <w:t>Kengo</w:t>
      </w:r>
      <w:proofErr w:type="spellEnd"/>
      <w:r w:rsidRPr="00EE6BD8">
        <w:rPr>
          <w:sz w:val="24"/>
          <w:szCs w:val="24"/>
          <w:lang w:val="en-US"/>
        </w:rPr>
        <w:t xml:space="preserve"> Kuma and Daniel </w:t>
      </w:r>
      <w:proofErr w:type="spellStart"/>
      <w:r w:rsidRPr="00EE6BD8">
        <w:rPr>
          <w:sz w:val="24"/>
          <w:szCs w:val="24"/>
          <w:lang w:val="en-US"/>
        </w:rPr>
        <w:t>Libeskind</w:t>
      </w:r>
      <w:proofErr w:type="spellEnd"/>
      <w:r w:rsidRPr="00EE6BD8">
        <w:rPr>
          <w:sz w:val="24"/>
          <w:szCs w:val="24"/>
          <w:lang w:val="en-US"/>
        </w:rPr>
        <w:t xml:space="preserve">. </w:t>
      </w:r>
    </w:p>
    <w:p w:rsidR="00637ACA" w:rsidRPr="00EE6BD8" w:rsidRDefault="00637ACA"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The winning project was selected because of the architect’s reserved and balanced approach to what is a great and dramatic past. </w:t>
      </w:r>
      <w:proofErr w:type="spellStart"/>
      <w:r w:rsidRPr="00EE6BD8">
        <w:rPr>
          <w:sz w:val="24"/>
          <w:szCs w:val="24"/>
          <w:lang w:val="en-US"/>
        </w:rPr>
        <w:t>Mahlamäki</w:t>
      </w:r>
      <w:proofErr w:type="spellEnd"/>
      <w:r w:rsidRPr="00EE6BD8">
        <w:rPr>
          <w:sz w:val="24"/>
          <w:szCs w:val="24"/>
          <w:lang w:val="en-US"/>
        </w:rPr>
        <w:t xml:space="preserve"> proposed a building with a muted, geometric exterior, yet a remarkable, dynamic interior. A luminous museum-monument, covered with glass, split into two parts directly opposite the Monument to the Ghetto Heroes. It is more than a static monument however. The Museum, as a cultural and educational center, projects its inner energy outwards, illuminating its surroundings.</w:t>
      </w:r>
    </w:p>
    <w:p w:rsidR="00637ACA" w:rsidRPr="00EE6BD8" w:rsidRDefault="00637ACA"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In developing the concept, the architect not only accounted for the building, but also for its surroundings. The building was constructed on a square plan with an identical square formed by the adjoining area around the Monument to the Ghetto Heroes. Both </w:t>
      </w:r>
      <w:r w:rsidR="006A3249" w:rsidRPr="00EE6BD8">
        <w:rPr>
          <w:sz w:val="24"/>
          <w:szCs w:val="24"/>
          <w:lang w:val="en-US"/>
        </w:rPr>
        <w:t xml:space="preserve">the Museum and the Monument </w:t>
      </w:r>
      <w:r w:rsidRPr="00EE6BD8">
        <w:rPr>
          <w:sz w:val="24"/>
          <w:szCs w:val="24"/>
          <w:lang w:val="en-US"/>
        </w:rPr>
        <w:t xml:space="preserve">are rational, geometric frames, enclosing a living, dynamic organism. In the monument, a plain stone frame surrounds a group of figures that seem to tear away from the stone. Meantime the Museum’s simple mass encloses a symbol of their dramatic lot – the fissure of the </w:t>
      </w:r>
      <w:r w:rsidR="006A3249">
        <w:rPr>
          <w:sz w:val="24"/>
          <w:szCs w:val="24"/>
          <w:lang w:val="en-US"/>
        </w:rPr>
        <w:t>m</w:t>
      </w:r>
      <w:r w:rsidRPr="00EE6BD8">
        <w:rPr>
          <w:sz w:val="24"/>
          <w:szCs w:val="24"/>
          <w:lang w:val="en-US"/>
        </w:rPr>
        <w:t xml:space="preserve">ain </w:t>
      </w:r>
      <w:r w:rsidR="006A3249">
        <w:rPr>
          <w:sz w:val="24"/>
          <w:szCs w:val="24"/>
          <w:lang w:val="en-US"/>
        </w:rPr>
        <w:t>h</w:t>
      </w:r>
      <w:r w:rsidRPr="00EE6BD8">
        <w:rPr>
          <w:sz w:val="24"/>
          <w:szCs w:val="24"/>
          <w:lang w:val="en-US"/>
        </w:rPr>
        <w:t>all. A space of ongoing dialogue is thus established between the two, with the Monument as a place of silent reflection and commemoration, and the Museum one of discovery and exploration.</w:t>
      </w:r>
    </w:p>
    <w:p w:rsidR="00637ACA" w:rsidRPr="00EE6BD8" w:rsidRDefault="00637ACA" w:rsidP="00805942">
      <w:pPr>
        <w:spacing w:line="276" w:lineRule="auto"/>
        <w:jc w:val="both"/>
        <w:rPr>
          <w:sz w:val="24"/>
          <w:szCs w:val="24"/>
          <w:lang w:val="en-US"/>
        </w:rPr>
      </w:pPr>
    </w:p>
    <w:p w:rsidR="00637ACA" w:rsidRDefault="00637ACA" w:rsidP="00805942">
      <w:pPr>
        <w:spacing w:line="276" w:lineRule="auto"/>
        <w:jc w:val="both"/>
        <w:rPr>
          <w:sz w:val="24"/>
          <w:szCs w:val="24"/>
          <w:lang w:val="en-US"/>
        </w:rPr>
      </w:pPr>
      <w:r w:rsidRPr="00EE6BD8">
        <w:rPr>
          <w:sz w:val="24"/>
          <w:szCs w:val="24"/>
          <w:lang w:val="en-US"/>
        </w:rPr>
        <w:t xml:space="preserve">In June 2009, two years after the design was selected, an official groundbreaking ceremony took place and the construction of </w:t>
      </w:r>
      <w:r w:rsidR="002E471C">
        <w:rPr>
          <w:sz w:val="24"/>
          <w:szCs w:val="24"/>
          <w:lang w:val="en-US"/>
        </w:rPr>
        <w:t>POLIN Museum</w:t>
      </w:r>
      <w:r w:rsidRPr="00EE6BD8">
        <w:rPr>
          <w:sz w:val="24"/>
          <w:szCs w:val="24"/>
          <w:lang w:val="en-US"/>
        </w:rPr>
        <w:t xml:space="preserve"> began. It was completed in 2012. </w:t>
      </w:r>
    </w:p>
    <w:p w:rsidR="00EE6BD8" w:rsidRPr="00EE6BD8" w:rsidRDefault="00EE6BD8"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Poland and Warsaw are both undergoing dynamic changes. They need new museums, transforming people’s hearts and minds, as well as new architectural symbols, transforming public space. </w:t>
      </w:r>
      <w:r w:rsidR="002E471C">
        <w:rPr>
          <w:sz w:val="24"/>
          <w:szCs w:val="24"/>
          <w:lang w:val="en-US"/>
        </w:rPr>
        <w:t>POLIN Museum</w:t>
      </w:r>
      <w:r w:rsidRPr="00EE6BD8">
        <w:rPr>
          <w:sz w:val="24"/>
          <w:szCs w:val="24"/>
          <w:lang w:val="en-US"/>
        </w:rPr>
        <w:t xml:space="preserve"> responds to both of these needs.</w:t>
      </w:r>
    </w:p>
    <w:p w:rsidR="00637ACA" w:rsidRPr="00EE6BD8" w:rsidRDefault="00637ACA" w:rsidP="00805942">
      <w:pPr>
        <w:spacing w:line="276" w:lineRule="auto"/>
        <w:jc w:val="both"/>
        <w:rPr>
          <w:sz w:val="24"/>
          <w:szCs w:val="24"/>
          <w:lang w:val="en-US"/>
        </w:rPr>
      </w:pPr>
    </w:p>
    <w:p w:rsidR="00637ACA" w:rsidRPr="00EE6BD8" w:rsidRDefault="00637ACA" w:rsidP="00805942">
      <w:pPr>
        <w:widowControl w:val="0"/>
        <w:autoSpaceDE w:val="0"/>
        <w:autoSpaceDN w:val="0"/>
        <w:adjustRightInd w:val="0"/>
        <w:spacing w:line="276" w:lineRule="auto"/>
        <w:jc w:val="both"/>
        <w:rPr>
          <w:sz w:val="24"/>
          <w:szCs w:val="24"/>
          <w:lang w:val="en-US"/>
        </w:rPr>
      </w:pPr>
      <w:r w:rsidRPr="00EE6BD8">
        <w:rPr>
          <w:sz w:val="24"/>
          <w:szCs w:val="24"/>
          <w:lang w:val="en-US"/>
        </w:rPr>
        <w:t xml:space="preserve">The Museum comprises 12,8 thousand square meters of usable space, of which approximately one third will be occupied by the </w:t>
      </w:r>
      <w:r w:rsidR="006A3249">
        <w:rPr>
          <w:sz w:val="24"/>
          <w:szCs w:val="24"/>
          <w:lang w:val="en-US"/>
        </w:rPr>
        <w:t>c</w:t>
      </w:r>
      <w:r w:rsidRPr="00EE6BD8">
        <w:rPr>
          <w:sz w:val="24"/>
          <w:szCs w:val="24"/>
          <w:lang w:val="en-US"/>
        </w:rPr>
        <w:t xml:space="preserve">ore </w:t>
      </w:r>
      <w:r w:rsidR="006A3249">
        <w:rPr>
          <w:sz w:val="24"/>
          <w:szCs w:val="24"/>
          <w:lang w:val="en-US"/>
        </w:rPr>
        <w:t>e</w:t>
      </w:r>
      <w:r w:rsidRPr="00EE6BD8">
        <w:rPr>
          <w:sz w:val="24"/>
          <w:szCs w:val="24"/>
          <w:lang w:val="en-US"/>
        </w:rPr>
        <w:t xml:space="preserve">xhibition, while the remainder will support various types of program activities: temporary exhibitions, a multifunctional auditorium that will also serve as a 450-seat cinema and concert hall, two screening rooms, an Educational Center complete with workshop rooms, a Resource Center, a children’s area, a restaurant and museum shop. </w:t>
      </w:r>
    </w:p>
    <w:p w:rsidR="00637ACA" w:rsidRDefault="00637ACA" w:rsidP="00637ACA">
      <w:pPr>
        <w:rPr>
          <w:rFonts w:cs="Calibri"/>
          <w:sz w:val="24"/>
          <w:szCs w:val="24"/>
          <w:lang w:val="en-US"/>
        </w:rPr>
      </w:pPr>
    </w:p>
    <w:p w:rsidR="00637ACA" w:rsidRPr="00EE6BD8" w:rsidRDefault="00637ACA" w:rsidP="00637ACA">
      <w:pPr>
        <w:rPr>
          <w:sz w:val="24"/>
          <w:szCs w:val="24"/>
          <w:lang w:val="en-US"/>
        </w:rPr>
      </w:pPr>
    </w:p>
    <w:p w:rsidR="00EE6BD8" w:rsidRDefault="00EE6BD8" w:rsidP="00EE6BD8">
      <w:pPr>
        <w:jc w:val="both"/>
        <w:rPr>
          <w:b/>
          <w:color w:val="00A99D"/>
          <w:sz w:val="24"/>
          <w:szCs w:val="24"/>
          <w:lang w:val="en-US"/>
        </w:rPr>
      </w:pPr>
      <w:r w:rsidRPr="00885EB8">
        <w:rPr>
          <w:b/>
          <w:color w:val="52C6D5"/>
          <w:sz w:val="24"/>
          <w:szCs w:val="24"/>
          <w:lang w:val="en-US"/>
        </w:rPr>
        <w:t>Awards for POLIN Museum building</w:t>
      </w:r>
    </w:p>
    <w:p w:rsidR="00805942" w:rsidRPr="00EE6BD8" w:rsidRDefault="00805942" w:rsidP="00EE6BD8">
      <w:pPr>
        <w:jc w:val="both"/>
        <w:rPr>
          <w:b/>
          <w:color w:val="00A99D"/>
          <w:sz w:val="24"/>
          <w:szCs w:val="24"/>
          <w:lang w:val="en-US"/>
        </w:rPr>
      </w:pPr>
    </w:p>
    <w:p w:rsidR="00EE6BD8" w:rsidRPr="00474893" w:rsidRDefault="00EE6BD8" w:rsidP="00805942">
      <w:pPr>
        <w:spacing w:line="276" w:lineRule="auto"/>
        <w:jc w:val="both"/>
        <w:rPr>
          <w:bCs/>
          <w:color w:val="000000"/>
          <w:sz w:val="23"/>
          <w:szCs w:val="23"/>
          <w:lang w:val="en-US"/>
        </w:rPr>
      </w:pPr>
      <w:r w:rsidRPr="00885EB8">
        <w:rPr>
          <w:b/>
          <w:color w:val="52C6D5"/>
          <w:sz w:val="23"/>
          <w:szCs w:val="23"/>
          <w:lang w:val="en-US"/>
        </w:rPr>
        <w:t>2008:</w:t>
      </w:r>
      <w:r w:rsidRPr="00885EB8">
        <w:rPr>
          <w:color w:val="52C6D5"/>
          <w:sz w:val="23"/>
          <w:szCs w:val="23"/>
          <w:lang w:val="en-US"/>
        </w:rPr>
        <w:t xml:space="preserve"> </w:t>
      </w:r>
      <w:r w:rsidRPr="00474893">
        <w:rPr>
          <w:color w:val="000000" w:themeColor="text1"/>
          <w:sz w:val="23"/>
          <w:szCs w:val="23"/>
          <w:lang w:val="en-US"/>
        </w:rPr>
        <w:t xml:space="preserve">POLIN Museum building receives International Architecture Award from Chicago </w:t>
      </w:r>
      <w:r w:rsidRPr="00474893">
        <w:rPr>
          <w:bCs/>
          <w:color w:val="000000"/>
          <w:sz w:val="23"/>
          <w:szCs w:val="23"/>
          <w:lang w:val="en-US"/>
        </w:rPr>
        <w:t>Athenaeum: Museum of Architecture and Design.</w:t>
      </w:r>
    </w:p>
    <w:p w:rsidR="00805942" w:rsidRPr="00474893" w:rsidRDefault="00805942" w:rsidP="00805942">
      <w:pPr>
        <w:spacing w:line="276" w:lineRule="auto"/>
        <w:jc w:val="both"/>
        <w:rPr>
          <w:color w:val="000000" w:themeColor="text1"/>
          <w:sz w:val="23"/>
          <w:szCs w:val="23"/>
          <w:lang w:val="en-US"/>
        </w:rPr>
      </w:pPr>
    </w:p>
    <w:p w:rsidR="00EE6BD8" w:rsidRPr="00474893" w:rsidRDefault="00EE6BD8" w:rsidP="00805942">
      <w:pPr>
        <w:spacing w:line="276" w:lineRule="auto"/>
        <w:jc w:val="both"/>
        <w:rPr>
          <w:bCs/>
          <w:sz w:val="23"/>
          <w:szCs w:val="23"/>
          <w:lang w:val="en-US"/>
        </w:rPr>
      </w:pPr>
      <w:r w:rsidRPr="00885EB8">
        <w:rPr>
          <w:b/>
          <w:bCs/>
          <w:color w:val="52C6D5"/>
          <w:sz w:val="23"/>
          <w:szCs w:val="23"/>
          <w:lang w:val="en-US"/>
        </w:rPr>
        <w:t xml:space="preserve">2013: </w:t>
      </w:r>
      <w:r w:rsidRPr="00474893">
        <w:rPr>
          <w:bCs/>
          <w:sz w:val="23"/>
          <w:szCs w:val="23"/>
          <w:lang w:val="en-US"/>
        </w:rPr>
        <w:t xml:space="preserve">First prize at the </w:t>
      </w:r>
      <w:proofErr w:type="spellStart"/>
      <w:r w:rsidRPr="00474893">
        <w:rPr>
          <w:bCs/>
          <w:sz w:val="23"/>
          <w:szCs w:val="23"/>
          <w:lang w:val="en-US"/>
        </w:rPr>
        <w:t>Eurobuild</w:t>
      </w:r>
      <w:proofErr w:type="spellEnd"/>
      <w:r w:rsidRPr="00474893">
        <w:rPr>
          <w:bCs/>
          <w:sz w:val="23"/>
          <w:szCs w:val="23"/>
          <w:lang w:val="en-US"/>
        </w:rPr>
        <w:t xml:space="preserve"> Awards, organized by </w:t>
      </w:r>
      <w:proofErr w:type="spellStart"/>
      <w:r w:rsidRPr="00474893">
        <w:rPr>
          <w:bCs/>
          <w:sz w:val="23"/>
          <w:szCs w:val="23"/>
          <w:lang w:val="en-US"/>
        </w:rPr>
        <w:t>Eurobuild</w:t>
      </w:r>
      <w:proofErr w:type="spellEnd"/>
      <w:r w:rsidRPr="00474893">
        <w:rPr>
          <w:bCs/>
          <w:sz w:val="23"/>
          <w:szCs w:val="23"/>
          <w:lang w:val="en-US"/>
        </w:rPr>
        <w:t xml:space="preserve"> Central &amp; Eastern Europe magazine, in the Architectural Design of the Year category.</w:t>
      </w:r>
    </w:p>
    <w:p w:rsidR="00805942" w:rsidRPr="00474893" w:rsidRDefault="00805942" w:rsidP="00805942">
      <w:pPr>
        <w:spacing w:line="276" w:lineRule="auto"/>
        <w:jc w:val="both"/>
        <w:rPr>
          <w:bCs/>
          <w:color w:val="000000"/>
          <w:sz w:val="23"/>
          <w:szCs w:val="23"/>
          <w:lang w:val="en-US"/>
        </w:rPr>
      </w:pPr>
    </w:p>
    <w:p w:rsidR="00EE6BD8" w:rsidRPr="00474893" w:rsidRDefault="00A63EFE" w:rsidP="00805942">
      <w:pPr>
        <w:spacing w:line="276" w:lineRule="auto"/>
        <w:jc w:val="both"/>
        <w:rPr>
          <w:bCs/>
          <w:sz w:val="23"/>
          <w:szCs w:val="23"/>
          <w:lang w:val="en-US"/>
        </w:rPr>
      </w:pPr>
      <w:r w:rsidRPr="00885EB8">
        <w:rPr>
          <w:b/>
          <w:bCs/>
          <w:color w:val="52C6D5"/>
          <w:sz w:val="23"/>
          <w:szCs w:val="23"/>
          <w:lang w:val="en-US"/>
        </w:rPr>
        <w:t xml:space="preserve">2013: </w:t>
      </w:r>
      <w:r w:rsidRPr="00474893">
        <w:rPr>
          <w:bCs/>
          <w:sz w:val="23"/>
          <w:szCs w:val="23"/>
          <w:lang w:val="en-US"/>
        </w:rPr>
        <w:t xml:space="preserve">SPB TORKRET Ltd, the company </w:t>
      </w:r>
      <w:r w:rsidR="00805942" w:rsidRPr="00474893">
        <w:rPr>
          <w:bCs/>
          <w:sz w:val="23"/>
          <w:szCs w:val="23"/>
          <w:lang w:val="en-US"/>
        </w:rPr>
        <w:t>responsible for the construction of</w:t>
      </w:r>
      <w:r w:rsidRPr="00474893">
        <w:rPr>
          <w:bCs/>
          <w:sz w:val="23"/>
          <w:szCs w:val="23"/>
          <w:lang w:val="en-US"/>
        </w:rPr>
        <w:t xml:space="preserve"> POLIN Museum’s organic walls, receives Outstanding Shotcrete Project of the Year Award from the American Shotcrete </w:t>
      </w:r>
      <w:proofErr w:type="spellStart"/>
      <w:r w:rsidRPr="00474893">
        <w:rPr>
          <w:bCs/>
          <w:sz w:val="23"/>
          <w:szCs w:val="23"/>
          <w:lang w:val="en-US"/>
        </w:rPr>
        <w:t>Assosia</w:t>
      </w:r>
      <w:r w:rsidR="00805942" w:rsidRPr="00474893">
        <w:rPr>
          <w:bCs/>
          <w:sz w:val="23"/>
          <w:szCs w:val="23"/>
          <w:lang w:val="en-US"/>
        </w:rPr>
        <w:t>tion</w:t>
      </w:r>
      <w:proofErr w:type="spellEnd"/>
      <w:r w:rsidR="00805942" w:rsidRPr="00474893">
        <w:rPr>
          <w:bCs/>
          <w:sz w:val="23"/>
          <w:szCs w:val="23"/>
          <w:lang w:val="en-US"/>
        </w:rPr>
        <w:t>.</w:t>
      </w:r>
    </w:p>
    <w:p w:rsidR="00805942" w:rsidRPr="00474893" w:rsidRDefault="00805942" w:rsidP="00805942">
      <w:pPr>
        <w:spacing w:line="276" w:lineRule="auto"/>
        <w:jc w:val="both"/>
        <w:rPr>
          <w:bCs/>
          <w:sz w:val="23"/>
          <w:szCs w:val="23"/>
          <w:lang w:val="en-US"/>
        </w:rPr>
      </w:pPr>
    </w:p>
    <w:p w:rsidR="006D0A7B" w:rsidRPr="00474893" w:rsidRDefault="00EE6BD8" w:rsidP="00805942">
      <w:pPr>
        <w:spacing w:line="276" w:lineRule="auto"/>
        <w:jc w:val="both"/>
        <w:rPr>
          <w:bCs/>
          <w:sz w:val="23"/>
          <w:szCs w:val="23"/>
          <w:lang w:val="en-US"/>
        </w:rPr>
      </w:pPr>
      <w:r w:rsidRPr="00885EB8">
        <w:rPr>
          <w:b/>
          <w:bCs/>
          <w:color w:val="52C6D5"/>
          <w:sz w:val="23"/>
          <w:szCs w:val="23"/>
          <w:lang w:val="en-US"/>
        </w:rPr>
        <w:t>2014:</w:t>
      </w:r>
      <w:r w:rsidRPr="00885EB8">
        <w:rPr>
          <w:bCs/>
          <w:color w:val="52C6D5"/>
          <w:sz w:val="23"/>
          <w:szCs w:val="23"/>
          <w:lang w:val="en-US"/>
        </w:rPr>
        <w:t xml:space="preserve"> </w:t>
      </w:r>
      <w:r w:rsidR="00A63EFE" w:rsidRPr="00474893">
        <w:rPr>
          <w:bCs/>
          <w:sz w:val="23"/>
          <w:szCs w:val="23"/>
          <w:lang w:val="en-US"/>
        </w:rPr>
        <w:t>The Association of Polish Architects (SARP) gives SARP Award of the Year and the Award for the Best Architectural Object Built Using Public Funds under the Honorary Patronage of the President of the Republic of Poland</w:t>
      </w:r>
      <w:r w:rsidR="00805942" w:rsidRPr="00474893">
        <w:rPr>
          <w:bCs/>
          <w:sz w:val="23"/>
          <w:szCs w:val="23"/>
          <w:lang w:val="en-US"/>
        </w:rPr>
        <w:t xml:space="preserve"> to POLIN Museum.</w:t>
      </w:r>
    </w:p>
    <w:p w:rsidR="00474893" w:rsidRPr="00474893" w:rsidRDefault="00474893" w:rsidP="00805942">
      <w:pPr>
        <w:spacing w:line="276" w:lineRule="auto"/>
        <w:jc w:val="both"/>
        <w:rPr>
          <w:bCs/>
          <w:sz w:val="23"/>
          <w:szCs w:val="23"/>
          <w:lang w:val="en-US"/>
        </w:rPr>
      </w:pPr>
    </w:p>
    <w:p w:rsidR="00474893" w:rsidRDefault="00474893" w:rsidP="00805942">
      <w:pPr>
        <w:spacing w:line="276" w:lineRule="auto"/>
        <w:jc w:val="both"/>
        <w:rPr>
          <w:bCs/>
          <w:sz w:val="23"/>
          <w:szCs w:val="23"/>
          <w:lang w:val="en-US"/>
        </w:rPr>
      </w:pPr>
      <w:r w:rsidRPr="00885EB8">
        <w:rPr>
          <w:b/>
          <w:bCs/>
          <w:color w:val="52C6D5"/>
          <w:sz w:val="23"/>
          <w:szCs w:val="23"/>
          <w:lang w:val="en-US"/>
        </w:rPr>
        <w:lastRenderedPageBreak/>
        <w:t>2014:</w:t>
      </w:r>
      <w:r w:rsidRPr="00885EB8">
        <w:rPr>
          <w:bCs/>
          <w:color w:val="52C6D5"/>
          <w:sz w:val="23"/>
          <w:szCs w:val="23"/>
          <w:lang w:val="en-US"/>
        </w:rPr>
        <w:t xml:space="preserve"> </w:t>
      </w:r>
      <w:r w:rsidRPr="00474893">
        <w:rPr>
          <w:bCs/>
          <w:sz w:val="23"/>
          <w:szCs w:val="23"/>
          <w:lang w:val="en-US"/>
        </w:rPr>
        <w:t xml:space="preserve">Readers of </w:t>
      </w:r>
      <w:proofErr w:type="spellStart"/>
      <w:r w:rsidRPr="00474893">
        <w:rPr>
          <w:bCs/>
          <w:i/>
          <w:sz w:val="23"/>
          <w:szCs w:val="23"/>
          <w:lang w:val="en-US"/>
        </w:rPr>
        <w:t>Polityka</w:t>
      </w:r>
      <w:proofErr w:type="spellEnd"/>
      <w:r w:rsidRPr="00474893">
        <w:rPr>
          <w:bCs/>
          <w:sz w:val="23"/>
          <w:szCs w:val="23"/>
          <w:lang w:val="en-US"/>
        </w:rPr>
        <w:t xml:space="preserve"> magazine award POLIN Museum building with Architectural Prize title</w:t>
      </w:r>
      <w:r>
        <w:rPr>
          <w:bCs/>
          <w:sz w:val="23"/>
          <w:szCs w:val="23"/>
          <w:lang w:val="en-US"/>
        </w:rPr>
        <w:t>.</w:t>
      </w:r>
    </w:p>
    <w:p w:rsidR="002E471C" w:rsidRDefault="002E471C" w:rsidP="00805942">
      <w:pPr>
        <w:spacing w:line="276" w:lineRule="auto"/>
        <w:jc w:val="both"/>
        <w:rPr>
          <w:bCs/>
          <w:sz w:val="23"/>
          <w:szCs w:val="23"/>
          <w:lang w:val="en-US"/>
        </w:rPr>
      </w:pPr>
    </w:p>
    <w:p w:rsidR="002E471C" w:rsidRPr="00691C77" w:rsidRDefault="002E471C" w:rsidP="00691C77">
      <w:pPr>
        <w:jc w:val="both"/>
        <w:rPr>
          <w:rFonts w:asciiTheme="minorHAnsi" w:hAnsiTheme="minorHAnsi"/>
          <w:sz w:val="23"/>
          <w:szCs w:val="23"/>
          <w:lang w:val="en-US"/>
        </w:rPr>
      </w:pPr>
      <w:r w:rsidRPr="00885EB8">
        <w:rPr>
          <w:rFonts w:asciiTheme="minorHAnsi" w:hAnsiTheme="minorHAnsi"/>
          <w:b/>
          <w:bCs/>
          <w:color w:val="52C6D5"/>
          <w:sz w:val="23"/>
          <w:szCs w:val="23"/>
          <w:lang w:val="en-US"/>
        </w:rPr>
        <w:t>2014:</w:t>
      </w:r>
      <w:r w:rsidRPr="00885EB8">
        <w:rPr>
          <w:rFonts w:asciiTheme="minorHAnsi" w:hAnsiTheme="minorHAnsi"/>
          <w:bCs/>
          <w:color w:val="52C6D5"/>
          <w:sz w:val="23"/>
          <w:szCs w:val="23"/>
          <w:lang w:val="en-US"/>
        </w:rPr>
        <w:t xml:space="preserve"> </w:t>
      </w:r>
      <w:r w:rsidRPr="002E471C">
        <w:rPr>
          <w:rFonts w:asciiTheme="minorHAnsi" w:hAnsiTheme="minorHAnsi"/>
          <w:sz w:val="23"/>
          <w:szCs w:val="23"/>
          <w:lang w:val="en-US"/>
        </w:rPr>
        <w:t xml:space="preserve">The Finnish Association of Architects </w:t>
      </w:r>
      <w:r>
        <w:rPr>
          <w:rFonts w:asciiTheme="minorHAnsi" w:hAnsiTheme="minorHAnsi"/>
          <w:sz w:val="23"/>
          <w:szCs w:val="23"/>
          <w:lang w:val="en-US"/>
        </w:rPr>
        <w:t xml:space="preserve">(SAFA) </w:t>
      </w:r>
      <w:r w:rsidRPr="002E471C">
        <w:rPr>
          <w:rFonts w:asciiTheme="minorHAnsi" w:hAnsiTheme="minorHAnsi"/>
          <w:sz w:val="23"/>
          <w:szCs w:val="23"/>
          <w:lang w:val="en-US"/>
        </w:rPr>
        <w:t xml:space="preserve">has awarded first </w:t>
      </w:r>
      <w:proofErr w:type="spellStart"/>
      <w:r>
        <w:rPr>
          <w:rStyle w:val="Pogrubienie"/>
          <w:rFonts w:asciiTheme="minorHAnsi" w:hAnsiTheme="minorHAnsi" w:cs="Arial"/>
          <w:b w:val="0"/>
          <w:sz w:val="23"/>
          <w:szCs w:val="23"/>
          <w:lang w:val="en-US"/>
        </w:rPr>
        <w:t>Finlandia</w:t>
      </w:r>
      <w:proofErr w:type="spellEnd"/>
      <w:r>
        <w:rPr>
          <w:rStyle w:val="Pogrubienie"/>
          <w:rFonts w:asciiTheme="minorHAnsi" w:hAnsiTheme="minorHAnsi" w:cs="Arial"/>
          <w:b w:val="0"/>
          <w:sz w:val="23"/>
          <w:szCs w:val="23"/>
          <w:lang w:val="en-US"/>
        </w:rPr>
        <w:t xml:space="preserve"> Prize for </w:t>
      </w:r>
      <w:r w:rsidRPr="002E471C">
        <w:rPr>
          <w:rStyle w:val="Pogrubienie"/>
          <w:rFonts w:asciiTheme="minorHAnsi" w:hAnsiTheme="minorHAnsi" w:cs="Arial"/>
          <w:b w:val="0"/>
          <w:sz w:val="23"/>
          <w:szCs w:val="23"/>
          <w:lang w:val="en-US"/>
        </w:rPr>
        <w:t>Architecture</w:t>
      </w:r>
      <w:r>
        <w:rPr>
          <w:rFonts w:asciiTheme="minorHAnsi" w:hAnsiTheme="minorHAnsi"/>
          <w:sz w:val="23"/>
          <w:szCs w:val="23"/>
          <w:lang w:val="en-US"/>
        </w:rPr>
        <w:t xml:space="preserve"> to POLIN Museum.</w:t>
      </w:r>
    </w:p>
    <w:p w:rsidR="00885EB8" w:rsidRPr="00DA586A" w:rsidRDefault="00885EB8" w:rsidP="00885EB8">
      <w:pPr>
        <w:jc w:val="right"/>
        <w:rPr>
          <w:b/>
          <w:color w:val="52C6D5"/>
          <w:sz w:val="28"/>
          <w:szCs w:val="28"/>
          <w:lang w:val="en-US"/>
        </w:rPr>
      </w:pPr>
      <w:r w:rsidRPr="00DA586A">
        <w:rPr>
          <w:b/>
          <w:color w:val="52C6D5"/>
          <w:sz w:val="28"/>
          <w:szCs w:val="28"/>
          <w:lang w:val="en-US"/>
        </w:rPr>
        <w:t>Media contact</w:t>
      </w:r>
    </w:p>
    <w:p w:rsidR="00885EB8" w:rsidRPr="00DA586A" w:rsidRDefault="00885EB8" w:rsidP="00885EB8">
      <w:pPr>
        <w:jc w:val="right"/>
        <w:rPr>
          <w:rStyle w:val="Pogrubienie"/>
          <w:b w:val="0"/>
          <w:bCs w:val="0"/>
          <w:sz w:val="24"/>
          <w:szCs w:val="24"/>
          <w:lang w:val="en-US"/>
        </w:rPr>
      </w:pPr>
      <w:proofErr w:type="spellStart"/>
      <w:r w:rsidRPr="00DA586A">
        <w:rPr>
          <w:rStyle w:val="Pogrubienie"/>
          <w:rFonts w:cs="Arial"/>
          <w:color w:val="000000"/>
          <w:sz w:val="24"/>
          <w:szCs w:val="24"/>
          <w:lang w:val="en-US"/>
        </w:rPr>
        <w:t>Żaneta</w:t>
      </w:r>
      <w:proofErr w:type="spellEnd"/>
      <w:r w:rsidRPr="00DA586A">
        <w:rPr>
          <w:rStyle w:val="Pogrubienie"/>
          <w:rFonts w:cs="Arial"/>
          <w:color w:val="000000"/>
          <w:sz w:val="24"/>
          <w:szCs w:val="24"/>
          <w:lang w:val="en-US"/>
        </w:rPr>
        <w:t xml:space="preserve"> </w:t>
      </w:r>
      <w:proofErr w:type="spellStart"/>
      <w:r w:rsidRPr="00DA586A">
        <w:rPr>
          <w:rStyle w:val="Pogrubienie"/>
          <w:rFonts w:cs="Arial"/>
          <w:color w:val="000000"/>
          <w:sz w:val="24"/>
          <w:szCs w:val="24"/>
          <w:lang w:val="en-US"/>
        </w:rPr>
        <w:t>Czyżniewska</w:t>
      </w:r>
      <w:proofErr w:type="spellEnd"/>
      <w:r w:rsidRPr="00DA586A">
        <w:rPr>
          <w:sz w:val="24"/>
          <w:szCs w:val="24"/>
          <w:lang w:val="en-US"/>
        </w:rPr>
        <w:br/>
      </w:r>
      <w:hyperlink r:id="rId6" w:history="1">
        <w:r w:rsidRPr="00DA586A">
          <w:rPr>
            <w:rStyle w:val="Hipercze"/>
            <w:rFonts w:cs="Arial"/>
            <w:sz w:val="24"/>
            <w:szCs w:val="24"/>
            <w:lang w:val="en-US"/>
          </w:rPr>
          <w:t>zczyzniewska@polin.pl</w:t>
        </w:r>
      </w:hyperlink>
    </w:p>
    <w:p w:rsidR="00885EB8" w:rsidRPr="00F3383F" w:rsidRDefault="00885EB8" w:rsidP="00885EB8">
      <w:pPr>
        <w:jc w:val="right"/>
        <w:rPr>
          <w:sz w:val="24"/>
          <w:szCs w:val="24"/>
        </w:rPr>
      </w:pPr>
      <w:r>
        <w:rPr>
          <w:rStyle w:val="Pogrubienie"/>
          <w:rFonts w:cs="Arial"/>
          <w:color w:val="000000"/>
          <w:sz w:val="24"/>
          <w:szCs w:val="24"/>
        </w:rPr>
        <w:t>Marta Dziewulska</w:t>
      </w:r>
      <w:r w:rsidRPr="00E96A31">
        <w:rPr>
          <w:sz w:val="24"/>
          <w:szCs w:val="24"/>
        </w:rPr>
        <w:br/>
      </w:r>
      <w:hyperlink r:id="rId7" w:history="1">
        <w:r>
          <w:rPr>
            <w:rStyle w:val="Hipercze"/>
            <w:rFonts w:cs="Arial"/>
            <w:sz w:val="24"/>
            <w:szCs w:val="24"/>
          </w:rPr>
          <w:t>mdziewulska</w:t>
        </w:r>
      </w:hyperlink>
      <w:r>
        <w:rPr>
          <w:rStyle w:val="Hipercze"/>
          <w:rFonts w:cs="Arial"/>
          <w:sz w:val="24"/>
          <w:szCs w:val="24"/>
        </w:rPr>
        <w:t>@polin.pl</w:t>
      </w:r>
    </w:p>
    <w:p w:rsidR="00691C77" w:rsidRPr="00421C2E" w:rsidRDefault="00691C77" w:rsidP="002E471C">
      <w:pPr>
        <w:jc w:val="right"/>
        <w:rPr>
          <w:b/>
          <w:color w:val="00A99D"/>
          <w:sz w:val="28"/>
          <w:szCs w:val="28"/>
        </w:rPr>
      </w:pPr>
    </w:p>
    <w:p w:rsidR="002E471C" w:rsidRPr="00510976" w:rsidRDefault="002E471C" w:rsidP="002E471C">
      <w:pPr>
        <w:rPr>
          <w:rFonts w:asciiTheme="minorHAnsi" w:hAnsiTheme="minorHAnsi"/>
          <w:bCs/>
          <w:sz w:val="23"/>
          <w:szCs w:val="23"/>
        </w:rPr>
      </w:pPr>
      <w:bookmarkStart w:id="0" w:name="_GoBack"/>
      <w:bookmarkEnd w:id="0"/>
    </w:p>
    <w:sectPr w:rsidR="002E471C" w:rsidRPr="00510976" w:rsidSect="00637ACA">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38" w:rsidRDefault="00127B38" w:rsidP="00637ACA">
      <w:r>
        <w:separator/>
      </w:r>
    </w:p>
  </w:endnote>
  <w:endnote w:type="continuationSeparator" w:id="0">
    <w:p w:rsidR="00127B38" w:rsidRDefault="00127B38" w:rsidP="0063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D8" w:rsidRDefault="00EE6BD8">
    <w:pPr>
      <w:pStyle w:val="Stopka"/>
    </w:pPr>
    <w:r>
      <w:rPr>
        <w:rFonts w:asciiTheme="minorHAnsi" w:hAnsiTheme="minorHAnsi" w:cs="Calibri"/>
        <w:b/>
        <w:bCs/>
        <w:noProof/>
        <w:color w:val="00A99D"/>
        <w:sz w:val="28"/>
        <w:szCs w:val="28"/>
        <w:lang w:eastAsia="pl-PL" w:bidi="he-IL"/>
      </w:rPr>
      <mc:AlternateContent>
        <mc:Choice Requires="wps">
          <w:drawing>
            <wp:anchor distT="0" distB="0" distL="114300" distR="114300" simplePos="0" relativeHeight="251660288" behindDoc="0" locked="0" layoutInCell="1" allowOverlap="1" wp14:anchorId="6F9B98FD" wp14:editId="3F4923C3">
              <wp:simplePos x="0" y="0"/>
              <wp:positionH relativeFrom="column">
                <wp:posOffset>2156460</wp:posOffset>
              </wp:positionH>
              <wp:positionV relativeFrom="paragraph">
                <wp:posOffset>-241935</wp:posOffset>
              </wp:positionV>
              <wp:extent cx="1393825" cy="621030"/>
              <wp:effectExtent l="0" t="0" r="0" b="7620"/>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21030"/>
                      </a:xfrm>
                      <a:prstGeom prst="rect">
                        <a:avLst/>
                      </a:prstGeom>
                      <a:solidFill>
                        <a:srgbClr val="FFFFFF"/>
                      </a:solidFill>
                      <a:ln w="9525">
                        <a:noFill/>
                        <a:miter lim="800000"/>
                        <a:headEnd/>
                        <a:tailEnd/>
                      </a:ln>
                    </wps:spPr>
                    <wps:txbx>
                      <w:txbxContent>
                        <w:p w:rsidR="00EE6BD8" w:rsidRPr="00EB7EE0" w:rsidRDefault="00EE6BD8" w:rsidP="00EE6BD8">
                          <w:pPr>
                            <w:rPr>
                              <w:b/>
                              <w:sz w:val="28"/>
                              <w:szCs w:val="28"/>
                            </w:rPr>
                          </w:pPr>
                          <w:r>
                            <w:rPr>
                              <w:rFonts w:ascii="Calibri,Bold" w:hAnsi="Calibri,Bold" w:cs="Calibri,Bold"/>
                              <w:b/>
                              <w:bCs/>
                              <w:color w:val="00AA9E"/>
                              <w:sz w:val="28"/>
                              <w:szCs w:val="28"/>
                            </w:rPr>
                            <w:t xml:space="preserve">                       </w:t>
                          </w:r>
                          <w:r w:rsidRPr="00885EB8">
                            <w:rPr>
                              <w:rFonts w:ascii="Calibri,Bold" w:hAnsi="Calibri,Bold" w:cs="Calibri,Bold"/>
                              <w:b/>
                              <w:bCs/>
                              <w:color w:val="52C6D5"/>
                              <w:sz w:val="28"/>
                              <w:szCs w:val="28"/>
                            </w:rPr>
                            <w:t>www.polin.pl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B98FD" id="_x0000_t202" coordsize="21600,21600" o:spt="202" path="m,l,21600r21600,l21600,xe">
              <v:stroke joinstyle="miter"/>
              <v:path gradientshapeok="t" o:connecttype="rect"/>
            </v:shapetype>
            <v:shape id="Pole tekstowe 2" o:spid="_x0000_s1026" type="#_x0000_t202" style="position:absolute;margin-left:169.8pt;margin-top:-19.05pt;width:10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hJQIAACI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" stroked="f">
              <v:textbox>
                <w:txbxContent>
                  <w:p w:rsidR="00EE6BD8" w:rsidRPr="00EB7EE0" w:rsidRDefault="00EE6BD8" w:rsidP="00EE6BD8">
                    <w:pPr>
                      <w:rPr>
                        <w:b/>
                        <w:sz w:val="28"/>
                        <w:szCs w:val="28"/>
                      </w:rPr>
                    </w:pPr>
                    <w:r>
                      <w:rPr>
                        <w:rFonts w:ascii="Calibri,Bold" w:hAnsi="Calibri,Bold" w:cs="Calibri,Bold"/>
                        <w:b/>
                        <w:bCs/>
                        <w:color w:val="00AA9E"/>
                        <w:sz w:val="28"/>
                        <w:szCs w:val="28"/>
                      </w:rPr>
                      <w:t xml:space="preserve">                       </w:t>
                    </w:r>
                    <w:r w:rsidRPr="00885EB8">
                      <w:rPr>
                        <w:rFonts w:ascii="Calibri,Bold" w:hAnsi="Calibri,Bold" w:cs="Calibri,Bold"/>
                        <w:b/>
                        <w:bCs/>
                        <w:color w:val="52C6D5"/>
                        <w:sz w:val="28"/>
                        <w:szCs w:val="28"/>
                      </w:rPr>
                      <w:t>www.polin.pl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38" w:rsidRDefault="00127B38" w:rsidP="00637ACA">
      <w:r>
        <w:separator/>
      </w:r>
    </w:p>
  </w:footnote>
  <w:footnote w:type="continuationSeparator" w:id="0">
    <w:p w:rsidR="00127B38" w:rsidRDefault="00127B38" w:rsidP="0063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CA" w:rsidRDefault="00885EB8" w:rsidP="00885EB8">
    <w:pPr>
      <w:pStyle w:val="Nagwek"/>
      <w:tabs>
        <w:tab w:val="clear" w:pos="4536"/>
        <w:tab w:val="clear" w:pos="9072"/>
        <w:tab w:val="left" w:pos="3780"/>
      </w:tabs>
      <w:jc w:val="right"/>
    </w:pPr>
    <w:r>
      <w:rPr>
        <w:noProof/>
        <w:lang w:eastAsia="pl-PL" w:bidi="he-IL"/>
      </w:rPr>
      <w:drawing>
        <wp:inline distT="0" distB="0" distL="0" distR="0" wp14:anchorId="302D75C7" wp14:editId="67A31A22">
          <wp:extent cx="2122220"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7155" cy="945168"/>
                  </a:xfrm>
                  <a:prstGeom prst="rect">
                    <a:avLst/>
                  </a:prstGeom>
                </pic:spPr>
              </pic:pic>
            </a:graphicData>
          </a:graphic>
        </wp:inline>
      </w:drawing>
    </w:r>
    <w:r w:rsidR="00637AC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CA"/>
    <w:rsid w:val="00127B38"/>
    <w:rsid w:val="001A0B2E"/>
    <w:rsid w:val="002E471C"/>
    <w:rsid w:val="0030033C"/>
    <w:rsid w:val="003730BC"/>
    <w:rsid w:val="003D42B4"/>
    <w:rsid w:val="00474893"/>
    <w:rsid w:val="00493A58"/>
    <w:rsid w:val="00510976"/>
    <w:rsid w:val="00637ACA"/>
    <w:rsid w:val="00691C77"/>
    <w:rsid w:val="006A3249"/>
    <w:rsid w:val="00805942"/>
    <w:rsid w:val="00885EB8"/>
    <w:rsid w:val="00A63EFE"/>
    <w:rsid w:val="00EE6BD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62212-5BFC-47DB-A819-5AA7BB48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AC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ACA"/>
    <w:pPr>
      <w:tabs>
        <w:tab w:val="center" w:pos="4536"/>
        <w:tab w:val="right" w:pos="9072"/>
      </w:tabs>
    </w:pPr>
  </w:style>
  <w:style w:type="character" w:customStyle="1" w:styleId="NagwekZnak">
    <w:name w:val="Nagłówek Znak"/>
    <w:basedOn w:val="Domylnaczcionkaakapitu"/>
    <w:link w:val="Nagwek"/>
    <w:uiPriority w:val="99"/>
    <w:rsid w:val="00637ACA"/>
    <w:rPr>
      <w:rFonts w:ascii="Calibri" w:eastAsia="Calibri" w:hAnsi="Calibri" w:cs="Times New Roman"/>
    </w:rPr>
  </w:style>
  <w:style w:type="paragraph" w:styleId="Stopka">
    <w:name w:val="footer"/>
    <w:basedOn w:val="Normalny"/>
    <w:link w:val="StopkaZnak"/>
    <w:uiPriority w:val="99"/>
    <w:unhideWhenUsed/>
    <w:rsid w:val="00637ACA"/>
    <w:pPr>
      <w:tabs>
        <w:tab w:val="center" w:pos="4536"/>
        <w:tab w:val="right" w:pos="9072"/>
      </w:tabs>
    </w:pPr>
  </w:style>
  <w:style w:type="character" w:customStyle="1" w:styleId="StopkaZnak">
    <w:name w:val="Stopka Znak"/>
    <w:basedOn w:val="Domylnaczcionkaakapitu"/>
    <w:link w:val="Stopka"/>
    <w:uiPriority w:val="99"/>
    <w:rsid w:val="00637ACA"/>
    <w:rPr>
      <w:rFonts w:ascii="Calibri" w:eastAsia="Calibri" w:hAnsi="Calibri" w:cs="Times New Roman"/>
    </w:rPr>
  </w:style>
  <w:style w:type="paragraph" w:styleId="Tekstdymka">
    <w:name w:val="Balloon Text"/>
    <w:basedOn w:val="Normalny"/>
    <w:link w:val="TekstdymkaZnak"/>
    <w:uiPriority w:val="99"/>
    <w:semiHidden/>
    <w:unhideWhenUsed/>
    <w:rsid w:val="00637ACA"/>
    <w:rPr>
      <w:rFonts w:ascii="Tahoma" w:hAnsi="Tahoma" w:cs="Tahoma"/>
      <w:sz w:val="16"/>
      <w:szCs w:val="16"/>
    </w:rPr>
  </w:style>
  <w:style w:type="character" w:customStyle="1" w:styleId="TekstdymkaZnak">
    <w:name w:val="Tekst dymka Znak"/>
    <w:basedOn w:val="Domylnaczcionkaakapitu"/>
    <w:link w:val="Tekstdymka"/>
    <w:uiPriority w:val="99"/>
    <w:semiHidden/>
    <w:rsid w:val="00637ACA"/>
    <w:rPr>
      <w:rFonts w:ascii="Tahoma" w:eastAsia="Calibri" w:hAnsi="Tahoma" w:cs="Tahoma"/>
      <w:sz w:val="16"/>
      <w:szCs w:val="16"/>
    </w:rPr>
  </w:style>
  <w:style w:type="character" w:styleId="Uwydatnienie">
    <w:name w:val="Emphasis"/>
    <w:basedOn w:val="Domylnaczcionkaakapitu"/>
    <w:uiPriority w:val="20"/>
    <w:qFormat/>
    <w:rsid w:val="00A63EFE"/>
    <w:rPr>
      <w:i/>
      <w:iCs/>
    </w:rPr>
  </w:style>
  <w:style w:type="character" w:styleId="Pogrubienie">
    <w:name w:val="Strong"/>
    <w:basedOn w:val="Domylnaczcionkaakapitu"/>
    <w:uiPriority w:val="22"/>
    <w:qFormat/>
    <w:rsid w:val="002E471C"/>
    <w:rPr>
      <w:b/>
      <w:bCs/>
    </w:rPr>
  </w:style>
  <w:style w:type="character" w:styleId="Hipercze">
    <w:name w:val="Hyperlink"/>
    <w:basedOn w:val="Domylnaczcionkaakapitu"/>
    <w:uiPriority w:val="99"/>
    <w:unhideWhenUsed/>
    <w:rsid w:val="002E4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oleszczuk@poli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zyzniewska@polin.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Jaworowska Jagna</dc:creator>
  <cp:lastModifiedBy>Czyżniewska Żaneta</cp:lastModifiedBy>
  <cp:revision>6</cp:revision>
  <dcterms:created xsi:type="dcterms:W3CDTF">2014-11-05T10:51:00Z</dcterms:created>
  <dcterms:modified xsi:type="dcterms:W3CDTF">2021-05-14T09:57:00Z</dcterms:modified>
</cp:coreProperties>
</file>