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D7C6" w14:textId="77777777" w:rsidR="00A24EC9" w:rsidRPr="00A24EC9" w:rsidRDefault="00A24EC9" w:rsidP="00A24EC9">
      <w:pPr>
        <w:pStyle w:val="Nagwek1"/>
      </w:pPr>
      <w:r w:rsidRPr="00A24EC9">
        <w:t xml:space="preserve">Majer </w:t>
      </w:r>
      <w:proofErr w:type="spellStart"/>
      <w:r w:rsidRPr="00A24EC9">
        <w:t>Kirszenblat</w:t>
      </w:r>
      <w:proofErr w:type="spellEnd"/>
      <w:r w:rsidRPr="00A24EC9">
        <w:t>, Chłopiec z obręczą</w:t>
      </w:r>
    </w:p>
    <w:p w14:paraId="44D3BDA6" w14:textId="04557400" w:rsid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ok. 1990 r. olej na płótnie wymiary: 60 x 50 cm. Zbiory Muzeum POLIN</w:t>
      </w:r>
    </w:p>
    <w:p w14:paraId="0A1F6F36" w14:textId="77777777" w:rsid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Niewielka uliczka. Po obydwu jej stronach znajdują się kamienice. Są podobne do siebie. Mają jasne, beżowe ściany, szare skośne dachy, niewielkie balkony i dwuskrzydłowe, drewniane drzwi.</w:t>
      </w:r>
    </w:p>
    <w:p w14:paraId="72FA1F4A" w14:textId="77777777" w:rsid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Po prawej stronie znajduje się tytułowy chłopiec z obręczą. Przedstawiony jest profilem. Ze skupieniem na twarzy uderza kijem o obręcz. W oddali pośrodku idzie mężczyzna ubrany na czarno. Na ramionach ma zawieszone sznury z wiadrami wody. Na końcu ulicy znajduje się niewielki budynek. Niebo jest bezchmurne, błękitne, z delikatnymi różowymi smugami.</w:t>
      </w:r>
    </w:p>
    <w:p w14:paraId="008F4E53" w14:textId="77777777" w:rsid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Ukazany chłopiec ma na sobie granatową marynarkę, spod której wystaje biały kołnierz koszuli, a także szare, szerokie spodnie do kolan i długie skarpety. Na głowie ma granatową czapkę, a na nogach czerwone buty, o których tak pisał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: „Wysportowani chłopcy, tacy jak ja, nosili czerwone buty narciarskie z </w:t>
      </w:r>
      <w:proofErr w:type="spellStart"/>
      <w:r w:rsidRPr="00B02A93">
        <w:rPr>
          <w:sz w:val="24"/>
          <w:szCs w:val="24"/>
        </w:rPr>
        <w:t>mosiężnymi</w:t>
      </w:r>
      <w:proofErr w:type="spellEnd"/>
      <w:r w:rsidRPr="00B02A93">
        <w:rPr>
          <w:sz w:val="24"/>
          <w:szCs w:val="24"/>
        </w:rPr>
        <w:t xml:space="preserve"> haczykami i szerokimi, </w:t>
      </w:r>
      <w:proofErr w:type="spellStart"/>
      <w:r w:rsidRPr="00B02A93">
        <w:rPr>
          <w:sz w:val="24"/>
          <w:szCs w:val="24"/>
        </w:rPr>
        <w:t>żółtymi</w:t>
      </w:r>
      <w:proofErr w:type="spellEnd"/>
      <w:r w:rsidRPr="00B02A93">
        <w:rPr>
          <w:sz w:val="24"/>
          <w:szCs w:val="24"/>
        </w:rPr>
        <w:t xml:space="preserve"> </w:t>
      </w:r>
      <w:proofErr w:type="spellStart"/>
      <w:r w:rsidRPr="00B02A93">
        <w:rPr>
          <w:sz w:val="24"/>
          <w:szCs w:val="24"/>
        </w:rPr>
        <w:t>sznurówkami</w:t>
      </w:r>
      <w:proofErr w:type="spellEnd"/>
      <w:r w:rsidRPr="00B02A93">
        <w:rPr>
          <w:sz w:val="24"/>
          <w:szCs w:val="24"/>
        </w:rPr>
        <w:t xml:space="preserve">. To były moje ulubione buty. </w:t>
      </w:r>
      <w:proofErr w:type="spellStart"/>
      <w:r w:rsidRPr="00B02A93">
        <w:rPr>
          <w:sz w:val="24"/>
          <w:szCs w:val="24"/>
        </w:rPr>
        <w:t>Mówiono</w:t>
      </w:r>
      <w:proofErr w:type="spellEnd"/>
      <w:r w:rsidRPr="00B02A93">
        <w:rPr>
          <w:sz w:val="24"/>
          <w:szCs w:val="24"/>
        </w:rPr>
        <w:t xml:space="preserve"> na nie „sportowe”, sprowadzano je spoza Opatowa. Nosiło </w:t>
      </w:r>
      <w:proofErr w:type="spellStart"/>
      <w:r w:rsidRPr="00B02A93">
        <w:rPr>
          <w:sz w:val="24"/>
          <w:szCs w:val="24"/>
        </w:rPr>
        <w:t>sie</w:t>
      </w:r>
      <w:proofErr w:type="spellEnd"/>
      <w:r w:rsidRPr="00B02A93">
        <w:rPr>
          <w:sz w:val="24"/>
          <w:szCs w:val="24"/>
        </w:rPr>
        <w:t xml:space="preserve">̨ do nich dwie pary skarpet – </w:t>
      </w:r>
      <w:proofErr w:type="spellStart"/>
      <w:r w:rsidRPr="00B02A93">
        <w:rPr>
          <w:sz w:val="24"/>
          <w:szCs w:val="24"/>
        </w:rPr>
        <w:t>podkolanówki</w:t>
      </w:r>
      <w:proofErr w:type="spellEnd"/>
      <w:r w:rsidRPr="00B02A93">
        <w:rPr>
          <w:sz w:val="24"/>
          <w:szCs w:val="24"/>
        </w:rPr>
        <w:t xml:space="preserve"> oraz drugą </w:t>
      </w:r>
      <w:proofErr w:type="spellStart"/>
      <w:r w:rsidRPr="00B02A93">
        <w:rPr>
          <w:sz w:val="24"/>
          <w:szCs w:val="24"/>
        </w:rPr>
        <w:t>pare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wywinięta</w:t>
      </w:r>
      <w:proofErr w:type="spellEnd"/>
      <w:r w:rsidRPr="00B02A93">
        <w:rPr>
          <w:sz w:val="24"/>
          <w:szCs w:val="24"/>
        </w:rPr>
        <w:t xml:space="preserve">̨ na </w:t>
      </w:r>
      <w:proofErr w:type="spellStart"/>
      <w:r w:rsidRPr="00B02A93">
        <w:rPr>
          <w:sz w:val="24"/>
          <w:szCs w:val="24"/>
        </w:rPr>
        <w:t>cholewke</w:t>
      </w:r>
      <w:proofErr w:type="spellEnd"/>
      <w:r w:rsidRPr="00B02A93">
        <w:rPr>
          <w:sz w:val="24"/>
          <w:szCs w:val="24"/>
        </w:rPr>
        <w:t xml:space="preserve">̨. </w:t>
      </w:r>
      <w:proofErr w:type="spellStart"/>
      <w:r w:rsidRPr="00B02A93">
        <w:rPr>
          <w:sz w:val="24"/>
          <w:szCs w:val="24"/>
        </w:rPr>
        <w:t>Wyglądaliśmy</w:t>
      </w:r>
      <w:proofErr w:type="spellEnd"/>
      <w:r w:rsidRPr="00B02A93">
        <w:rPr>
          <w:sz w:val="24"/>
          <w:szCs w:val="24"/>
        </w:rPr>
        <w:t xml:space="preserve"> w nich całkiem </w:t>
      </w:r>
      <w:proofErr w:type="spellStart"/>
      <w:r w:rsidRPr="00B02A93">
        <w:rPr>
          <w:sz w:val="24"/>
          <w:szCs w:val="24"/>
        </w:rPr>
        <w:t>nieźle</w:t>
      </w:r>
      <w:proofErr w:type="spellEnd"/>
      <w:r w:rsidRPr="00B02A93">
        <w:rPr>
          <w:sz w:val="24"/>
          <w:szCs w:val="24"/>
        </w:rPr>
        <w:t>”.</w:t>
      </w:r>
    </w:p>
    <w:p w14:paraId="14BC841F" w14:textId="77777777" w:rsid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Mężczyzna przedstawiony z tyłu jest mniejszy i ukazany bardziej schematycznie niż chłopiec na pierwszym planie. Wskazuje to na zastosowanie przez malarza zasad perspektywy. Obraz utrzymany jest w stonowanych barwach. Dominują odcienie beżu i szarości. Wyróżniającym się akcentem kolorystycznym jest granatowy strój chłopca i jego czerwone buty. Gdzieniegdzie widoczne są szerokie i długie pociągnięcia pędzla. W prawym dolnym rogu widnieje niewielki podpis artysty.</w:t>
      </w:r>
    </w:p>
    <w:p w14:paraId="1F25550F" w14:textId="77777777" w:rsid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Malarz przedstawił samego siebie. W jego wspomnieniach możemy przeczytać: „Do wieku </w:t>
      </w:r>
      <w:proofErr w:type="spellStart"/>
      <w:r w:rsidRPr="00B02A93">
        <w:rPr>
          <w:sz w:val="24"/>
          <w:szCs w:val="24"/>
        </w:rPr>
        <w:t>dziesięciu</w:t>
      </w:r>
      <w:proofErr w:type="spellEnd"/>
      <w:r w:rsidRPr="00B02A93">
        <w:rPr>
          <w:sz w:val="24"/>
          <w:szCs w:val="24"/>
        </w:rPr>
        <w:t xml:space="preserve"> czy dwunastu lat godzinami biegałem z </w:t>
      </w:r>
      <w:proofErr w:type="spellStart"/>
      <w:r w:rsidRPr="00B02A93">
        <w:rPr>
          <w:sz w:val="24"/>
          <w:szCs w:val="24"/>
        </w:rPr>
        <w:t>obręcza</w:t>
      </w:r>
      <w:proofErr w:type="spellEnd"/>
      <w:r w:rsidRPr="00B02A93">
        <w:rPr>
          <w:sz w:val="24"/>
          <w:szCs w:val="24"/>
        </w:rPr>
        <w:t xml:space="preserve">̨, turlałem ją po </w:t>
      </w:r>
      <w:proofErr w:type="spellStart"/>
      <w:r w:rsidRPr="00B02A93">
        <w:rPr>
          <w:sz w:val="24"/>
          <w:szCs w:val="24"/>
        </w:rPr>
        <w:t>mieście</w:t>
      </w:r>
      <w:proofErr w:type="spellEnd"/>
      <w:r w:rsidRPr="00B02A93">
        <w:rPr>
          <w:sz w:val="24"/>
          <w:szCs w:val="24"/>
        </w:rPr>
        <w:t xml:space="preserve"> w tę i we w tę </w:t>
      </w:r>
      <w:proofErr w:type="spellStart"/>
      <w:r w:rsidRPr="00B02A93">
        <w:rPr>
          <w:sz w:val="24"/>
          <w:szCs w:val="24"/>
        </w:rPr>
        <w:t>az</w:t>
      </w:r>
      <w:proofErr w:type="spellEnd"/>
      <w:r w:rsidRPr="00B02A93">
        <w:rPr>
          <w:sz w:val="24"/>
          <w:szCs w:val="24"/>
        </w:rPr>
        <w:t xml:space="preserve">̇ do </w:t>
      </w:r>
      <w:proofErr w:type="spellStart"/>
      <w:r w:rsidRPr="00B02A93">
        <w:rPr>
          <w:sz w:val="24"/>
          <w:szCs w:val="24"/>
        </w:rPr>
        <w:t>późnego</w:t>
      </w:r>
      <w:proofErr w:type="spellEnd"/>
      <w:r w:rsidRPr="00B02A93">
        <w:rPr>
          <w:sz w:val="24"/>
          <w:szCs w:val="24"/>
        </w:rPr>
        <w:t xml:space="preserve"> wieczora”.</w:t>
      </w:r>
    </w:p>
    <w:p w14:paraId="1BB7E347" w14:textId="57C8E904" w:rsidR="008E2966" w:rsidRPr="00A24EC9" w:rsidRDefault="00A24EC9" w:rsidP="00A24EC9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Obraz może kojarzyć się z bajkową i nieco nostalgiczną stylistyką. Stanowi jeden z wielu przykładów prac ukazujących dziecięcą perspektywę.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pisał: „</w:t>
      </w:r>
      <w:proofErr w:type="spellStart"/>
      <w:r w:rsidRPr="00B02A93">
        <w:rPr>
          <w:sz w:val="24"/>
          <w:szCs w:val="24"/>
        </w:rPr>
        <w:t>Potrafie</w:t>
      </w:r>
      <w:proofErr w:type="spellEnd"/>
      <w:r w:rsidRPr="00B02A93">
        <w:rPr>
          <w:sz w:val="24"/>
          <w:szCs w:val="24"/>
        </w:rPr>
        <w:t xml:space="preserve">̨ </w:t>
      </w:r>
      <w:proofErr w:type="spellStart"/>
      <w:r w:rsidRPr="00B02A93">
        <w:rPr>
          <w:sz w:val="24"/>
          <w:szCs w:val="24"/>
        </w:rPr>
        <w:t>namalowac</w:t>
      </w:r>
      <w:proofErr w:type="spellEnd"/>
      <w:r w:rsidRPr="00B02A93">
        <w:rPr>
          <w:sz w:val="24"/>
          <w:szCs w:val="24"/>
        </w:rPr>
        <w:t xml:space="preserve">́ tylko to, co sam </w:t>
      </w:r>
      <w:proofErr w:type="spellStart"/>
      <w:r w:rsidRPr="00B02A93">
        <w:rPr>
          <w:sz w:val="24"/>
          <w:szCs w:val="24"/>
        </w:rPr>
        <w:t>przeżyłem</w:t>
      </w:r>
      <w:proofErr w:type="spellEnd"/>
      <w:r w:rsidRPr="00B02A93">
        <w:rPr>
          <w:sz w:val="24"/>
          <w:szCs w:val="24"/>
        </w:rPr>
        <w:t xml:space="preserve">. Tylko to, co siedzi w mojej </w:t>
      </w:r>
      <w:proofErr w:type="spellStart"/>
      <w:r w:rsidRPr="00B02A93">
        <w:rPr>
          <w:sz w:val="24"/>
          <w:szCs w:val="24"/>
        </w:rPr>
        <w:t>pamięci</w:t>
      </w:r>
      <w:proofErr w:type="spellEnd"/>
      <w:r w:rsidRPr="00B02A93">
        <w:rPr>
          <w:sz w:val="24"/>
          <w:szCs w:val="24"/>
        </w:rPr>
        <w:t xml:space="preserve">. Maluję sceny tak, jak je </w:t>
      </w:r>
      <w:proofErr w:type="spellStart"/>
      <w:r w:rsidRPr="00B02A93">
        <w:rPr>
          <w:sz w:val="24"/>
          <w:szCs w:val="24"/>
        </w:rPr>
        <w:t>zapamiętałem</w:t>
      </w:r>
      <w:proofErr w:type="spellEnd"/>
      <w:r w:rsidRPr="00B02A93">
        <w:rPr>
          <w:sz w:val="24"/>
          <w:szCs w:val="24"/>
        </w:rPr>
        <w:t xml:space="preserve"> jako dziecko – mały chłopiec </w:t>
      </w:r>
      <w:proofErr w:type="spellStart"/>
      <w:r w:rsidRPr="00B02A93">
        <w:rPr>
          <w:sz w:val="24"/>
          <w:szCs w:val="24"/>
        </w:rPr>
        <w:t>zaglądający</w:t>
      </w:r>
      <w:proofErr w:type="spellEnd"/>
      <w:r w:rsidRPr="00B02A93">
        <w:rPr>
          <w:sz w:val="24"/>
          <w:szCs w:val="24"/>
        </w:rPr>
        <w:t xml:space="preserve"> przez okno”.</w:t>
      </w:r>
    </w:p>
    <w:sectPr w:rsidR="008E2966" w:rsidRPr="00A24EC9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C9"/>
    <w:rsid w:val="001A6735"/>
    <w:rsid w:val="002B5FAF"/>
    <w:rsid w:val="002E2DC4"/>
    <w:rsid w:val="006F652C"/>
    <w:rsid w:val="007605C2"/>
    <w:rsid w:val="00805B83"/>
    <w:rsid w:val="008E2966"/>
    <w:rsid w:val="00A24EC9"/>
    <w:rsid w:val="00AF082A"/>
    <w:rsid w:val="00C81F28"/>
    <w:rsid w:val="00D24CD6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7B82"/>
  <w15:chartTrackingRefBased/>
  <w15:docId w15:val="{6F7019E1-1FEC-40C8-9CAB-6D13377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EC9"/>
  </w:style>
  <w:style w:type="paragraph" w:styleId="Nagwek1">
    <w:name w:val="heading 1"/>
    <w:basedOn w:val="Normalny"/>
    <w:next w:val="Normalny"/>
    <w:link w:val="Nagwek1Znak"/>
    <w:autoRedefine/>
    <w:rsid w:val="00A24EC9"/>
    <w:pPr>
      <w:keepNext/>
      <w:keepLines/>
      <w:spacing w:before="240" w:after="0" w:line="360" w:lineRule="auto"/>
      <w:outlineLvl w:val="0"/>
    </w:pPr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A24EC9"/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Majer Kirszenblat, Chłopiec z obręczą. Tekst audiodeskrypcji do wystawy (po)Żydowskie</dc:title>
  <dc:subject/>
  <dc:creator>Popławska Natalia</dc:creator>
  <cp:keywords/>
  <dc:description/>
  <cp:lastModifiedBy>Popławska Natalia</cp:lastModifiedBy>
  <cp:revision>1</cp:revision>
  <dcterms:created xsi:type="dcterms:W3CDTF">2024-05-17T08:18:00Z</dcterms:created>
  <dcterms:modified xsi:type="dcterms:W3CDTF">2024-05-17T08:20:00Z</dcterms:modified>
</cp:coreProperties>
</file>