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65B5" w14:textId="77777777" w:rsidR="00232D7A" w:rsidRPr="001C763F" w:rsidRDefault="00963D18" w:rsidP="001C763F">
      <w:pPr>
        <w:rPr>
          <w:rStyle w:val="Pogrubienie"/>
          <w:b w:val="0"/>
          <w:lang w:val="en-GB"/>
        </w:rPr>
      </w:pPr>
      <w:r w:rsidRPr="001C763F">
        <w:rPr>
          <w:rStyle w:val="Pogrubienie"/>
          <w:b w:val="0"/>
        </w:rPr>
        <w:t>GEOP Workshop Application Form</w:t>
      </w:r>
    </w:p>
    <w:p w14:paraId="47129F21" w14:textId="77777777" w:rsidR="00963D18" w:rsidRPr="00645240" w:rsidRDefault="00963D18" w:rsidP="00694571">
      <w:pPr>
        <w:pStyle w:val="Akapitzlist"/>
        <w:numPr>
          <w:ilvl w:val="0"/>
          <w:numId w:val="2"/>
        </w:numPr>
        <w:spacing w:after="0"/>
        <w:rPr>
          <w:sz w:val="24"/>
          <w:szCs w:val="24"/>
        </w:rPr>
      </w:pPr>
      <w:proofErr w:type="spellStart"/>
      <w:r w:rsidRPr="00645240">
        <w:rPr>
          <w:sz w:val="24"/>
          <w:szCs w:val="24"/>
        </w:rPr>
        <w:t>Provisional</w:t>
      </w:r>
      <w:proofErr w:type="spellEnd"/>
      <w:r w:rsidRPr="00645240">
        <w:rPr>
          <w:sz w:val="24"/>
          <w:szCs w:val="24"/>
        </w:rPr>
        <w:t xml:space="preserve"> </w:t>
      </w:r>
      <w:proofErr w:type="spellStart"/>
      <w:r w:rsidRPr="00645240">
        <w:rPr>
          <w:sz w:val="24"/>
          <w:szCs w:val="24"/>
        </w:rPr>
        <w:t>workshop</w:t>
      </w:r>
      <w:proofErr w:type="spellEnd"/>
      <w:r w:rsidRPr="00645240">
        <w:rPr>
          <w:sz w:val="24"/>
          <w:szCs w:val="24"/>
        </w:rPr>
        <w:t xml:space="preserve"> </w:t>
      </w:r>
      <w:proofErr w:type="spellStart"/>
      <w:r w:rsidRPr="00645240">
        <w:rPr>
          <w:sz w:val="24"/>
          <w:szCs w:val="24"/>
        </w:rPr>
        <w:t>title</w:t>
      </w:r>
      <w:proofErr w:type="spellEnd"/>
    </w:p>
    <w:p w14:paraId="306F8EAE"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Name, contact details and affiliation of workshop facilitator</w:t>
      </w:r>
    </w:p>
    <w:p w14:paraId="42C16CF2"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Institutional partners</w:t>
      </w:r>
    </w:p>
    <w:p w14:paraId="117D618C"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Suggested workshop dates</w:t>
      </w:r>
    </w:p>
    <w:p w14:paraId="12140557"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Matched funding (amount in US dollars)</w:t>
      </w:r>
    </w:p>
    <w:p w14:paraId="251D870A"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 xml:space="preserve">Workshop description (up to 5 </w:t>
      </w:r>
      <w:r w:rsidR="00645240" w:rsidRPr="00645240">
        <w:rPr>
          <w:sz w:val="24"/>
          <w:szCs w:val="24"/>
          <w:lang w:val="en-US"/>
        </w:rPr>
        <w:t>sentences</w:t>
      </w:r>
      <w:r w:rsidRPr="00645240">
        <w:rPr>
          <w:sz w:val="24"/>
          <w:szCs w:val="24"/>
          <w:lang w:val="en-US"/>
        </w:rPr>
        <w:t>)</w:t>
      </w:r>
    </w:p>
    <w:p w14:paraId="78D25974"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Workshop topic and its contribution to the field (up to 2000 words)</w:t>
      </w:r>
    </w:p>
    <w:p w14:paraId="38BEBAA4"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Outcomes of the workshop</w:t>
      </w:r>
    </w:p>
    <w:p w14:paraId="080AF707"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Short bio of workshop facilitator</w:t>
      </w:r>
    </w:p>
    <w:p w14:paraId="27B38C07"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Names and affiliations of potential participants (up to 15, minimum 5 confirmed)</w:t>
      </w:r>
    </w:p>
    <w:p w14:paraId="2E0FC322"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Workshop preliminary schedule</w:t>
      </w:r>
    </w:p>
    <w:p w14:paraId="2DBDB9FB" w14:textId="77777777" w:rsidR="00963D18" w:rsidRPr="00645240" w:rsidRDefault="00963D18" w:rsidP="00694571">
      <w:pPr>
        <w:pStyle w:val="Akapitzlist"/>
        <w:numPr>
          <w:ilvl w:val="0"/>
          <w:numId w:val="2"/>
        </w:numPr>
        <w:spacing w:after="0"/>
        <w:rPr>
          <w:sz w:val="24"/>
          <w:szCs w:val="24"/>
          <w:lang w:val="en-US"/>
        </w:rPr>
      </w:pPr>
      <w:r w:rsidRPr="00645240">
        <w:rPr>
          <w:sz w:val="24"/>
          <w:szCs w:val="24"/>
          <w:lang w:val="en-US"/>
        </w:rPr>
        <w:t>Workshop preliminary budget</w:t>
      </w:r>
    </w:p>
    <w:p w14:paraId="6294A8B9" w14:textId="2CDAE4EB" w:rsidR="001C763F" w:rsidRDefault="00963D18" w:rsidP="001C763F">
      <w:pPr>
        <w:spacing w:after="0"/>
        <w:ind w:right="142"/>
        <w:jc w:val="both"/>
        <w:rPr>
          <w:rFonts w:cs="Andalus"/>
          <w:sz w:val="24"/>
          <w:szCs w:val="24"/>
          <w:lang w:val="en-US"/>
        </w:rPr>
      </w:pPr>
      <w:r w:rsidRPr="00645240">
        <w:rPr>
          <w:rFonts w:cs="Andalus"/>
          <w:sz w:val="24"/>
          <w:szCs w:val="24"/>
          <w:lang w:val="en-US"/>
        </w:rPr>
        <w:t xml:space="preserve">The administrator of your personal data is POLIN Museum of the History of Polish Jews based in Warsaw (00-157), 6 </w:t>
      </w:r>
      <w:proofErr w:type="spellStart"/>
      <w:r w:rsidRPr="00645240">
        <w:rPr>
          <w:rFonts w:cs="Andalus"/>
          <w:sz w:val="24"/>
          <w:szCs w:val="24"/>
          <w:lang w:val="en-US"/>
        </w:rPr>
        <w:t>Anielewicza</w:t>
      </w:r>
      <w:proofErr w:type="spellEnd"/>
      <w:r w:rsidRPr="00645240">
        <w:rPr>
          <w:rFonts w:cs="Andalus"/>
          <w:sz w:val="24"/>
          <w:szCs w:val="24"/>
          <w:lang w:val="en-US"/>
        </w:rPr>
        <w:t xml:space="preserve"> Street. POLIN Museum has appointed Data Protection Officer whom you can contact via e-mail </w:t>
      </w:r>
      <w:hyperlink r:id="rId6" w:history="1">
        <w:r w:rsidRPr="002E3443">
          <w:rPr>
            <w:rStyle w:val="Hipercze"/>
            <w:rFonts w:cs="Andalus"/>
            <w:sz w:val="24"/>
            <w:szCs w:val="24"/>
            <w:lang w:val="en-US"/>
          </w:rPr>
          <w:t>iod@polin.pl</w:t>
        </w:r>
      </w:hyperlink>
      <w:r w:rsidRPr="00645240">
        <w:rPr>
          <w:rFonts w:cs="Andalus"/>
          <w:sz w:val="24"/>
          <w:szCs w:val="24"/>
          <w:lang w:val="en-US"/>
        </w:rPr>
        <w:t>, or by phone at 22 471 03 41.</w:t>
      </w:r>
      <w:r w:rsidR="00571E0A">
        <w:rPr>
          <w:rFonts w:cs="Andalus"/>
          <w:sz w:val="24"/>
          <w:szCs w:val="24"/>
          <w:lang w:val="en-US"/>
        </w:rPr>
        <w:t xml:space="preserve"> </w:t>
      </w:r>
      <w:r w:rsidRPr="00645240">
        <w:rPr>
          <w:rFonts w:cs="Andalus"/>
          <w:sz w:val="24"/>
          <w:szCs w:val="24"/>
          <w:lang w:val="en-US"/>
        </w:rPr>
        <w:t>Your personal data will be processed in order to carry out POLIN Museum’s statutory activities, mission and tasks, based on the Article 6(a) of the Regulation, i.e. consent of the person whom the data concerns. The recipients of your personal data may be: IT systems and IT service providers, entities providing accounting services to the Museum, quality of service investigations, claims recovery, legal, analytical and marketing services, electronic payment systems operators and banks in the scope of payments, bodies entitled to receive your personal data based on legal regulations.</w:t>
      </w:r>
      <w:r w:rsidR="00571E0A">
        <w:rPr>
          <w:rFonts w:cs="Andalus"/>
          <w:sz w:val="24"/>
          <w:szCs w:val="24"/>
          <w:lang w:val="en-US"/>
        </w:rPr>
        <w:t xml:space="preserve"> </w:t>
      </w:r>
      <w:r w:rsidRPr="00645240">
        <w:rPr>
          <w:rFonts w:eastAsia="Times New Roman" w:cs="Andalus"/>
          <w:sz w:val="24"/>
          <w:szCs w:val="24"/>
          <w:lang w:val="en-US" w:eastAsia="ar-SA"/>
        </w:rPr>
        <w:t>Your personal data will not be transferred to a third country. Your personal data will be processed in the case of personal data processed for the purpose of providing you with electronic services - for the duration of providing you with electronic services, in the case of personal data processed for the purpose of the Museum sending you its marketing content - until you raise an objection to the processing of your personal data in this regard.</w:t>
      </w:r>
      <w:r w:rsidR="001C763F">
        <w:rPr>
          <w:rFonts w:cs="Andalus"/>
          <w:sz w:val="24"/>
          <w:szCs w:val="24"/>
          <w:lang w:val="en-US"/>
        </w:rPr>
        <w:t xml:space="preserve"> </w:t>
      </w:r>
      <w:r w:rsidRPr="00645240">
        <w:rPr>
          <w:rFonts w:cs="Andalus"/>
          <w:sz w:val="24"/>
          <w:szCs w:val="24"/>
          <w:lang w:val="en-US"/>
        </w:rPr>
        <w:t xml:space="preserve">After this period, personal data will be processed only in the scope and for the time required by law, including accounting regulations. Each of the expressed consents can be withdrawn at any time. Withdrawal of consent does not affect the legality of the processing carried out prior to its withdrawal. For the purposes of </w:t>
      </w:r>
      <w:r w:rsidRPr="00645240">
        <w:rPr>
          <w:rFonts w:cs="Andalus"/>
          <w:sz w:val="24"/>
          <w:szCs w:val="24"/>
          <w:lang w:val="en-US"/>
        </w:rPr>
        <w:lastRenderedPageBreak/>
        <w:t xml:space="preserve">evidence, the Museum asks for withdrawal of consent in writing to the address (Warsaw (00-157) 6 </w:t>
      </w:r>
      <w:proofErr w:type="spellStart"/>
      <w:r w:rsidRPr="00645240">
        <w:rPr>
          <w:rFonts w:cs="Andalus"/>
          <w:sz w:val="24"/>
          <w:szCs w:val="24"/>
          <w:lang w:val="en-US"/>
        </w:rPr>
        <w:t>Anielewicza</w:t>
      </w:r>
      <w:proofErr w:type="spellEnd"/>
      <w:r w:rsidRPr="00645240">
        <w:rPr>
          <w:rFonts w:cs="Andalus"/>
          <w:sz w:val="24"/>
          <w:szCs w:val="24"/>
          <w:lang w:val="en-US"/>
        </w:rPr>
        <w:t xml:space="preserve"> Street) or electronic (email to </w:t>
      </w:r>
      <w:hyperlink r:id="rId7" w:history="1">
        <w:r w:rsidR="001C763F" w:rsidRPr="00B6366F">
          <w:rPr>
            <w:rStyle w:val="Hipercze"/>
            <w:rFonts w:cs="Andalus"/>
            <w:sz w:val="24"/>
            <w:szCs w:val="24"/>
            <w:lang w:val="en-US"/>
          </w:rPr>
          <w:t>iod@polin.pl</w:t>
        </w:r>
      </w:hyperlink>
      <w:r w:rsidRPr="00645240">
        <w:rPr>
          <w:rFonts w:cs="Andalus"/>
          <w:sz w:val="24"/>
          <w:szCs w:val="24"/>
          <w:lang w:val="en-US"/>
        </w:rPr>
        <w:t>).</w:t>
      </w:r>
      <w:r w:rsidR="001C763F">
        <w:rPr>
          <w:rFonts w:cs="Andalus"/>
          <w:sz w:val="24"/>
          <w:szCs w:val="24"/>
          <w:lang w:val="en-US"/>
        </w:rPr>
        <w:t xml:space="preserve"> </w:t>
      </w:r>
      <w:r w:rsidRPr="00645240">
        <w:rPr>
          <w:rFonts w:cs="Andalus"/>
          <w:sz w:val="24"/>
          <w:szCs w:val="24"/>
          <w:lang w:val="en-US"/>
        </w:rPr>
        <w:t xml:space="preserve">You have the right to access your data and the right to rectify, delete, limit processing, the right to data transfer, the right to object, the right to withdraw consent at any time without affecting the legality of processing, which was made on the basis of consent before its </w:t>
      </w:r>
      <w:proofErr w:type="spellStart"/>
      <w:r w:rsidRPr="00645240">
        <w:rPr>
          <w:rFonts w:cs="Andalus"/>
          <w:sz w:val="24"/>
          <w:szCs w:val="24"/>
          <w:lang w:val="en-US"/>
        </w:rPr>
        <w:t>withdrawal.You</w:t>
      </w:r>
      <w:proofErr w:type="spellEnd"/>
      <w:r w:rsidRPr="00645240">
        <w:rPr>
          <w:rFonts w:cs="Andalus"/>
          <w:sz w:val="24"/>
          <w:szCs w:val="24"/>
          <w:lang w:val="en-US"/>
        </w:rPr>
        <w:t xml:space="preserve"> have the right to lodge a complaint to the supervisory authority when you feel that the processing of personal data concerning you violates the provisions of the General Data Protection Regulation of 27 April 2016. </w:t>
      </w:r>
      <w:r w:rsidRPr="00645240">
        <w:rPr>
          <w:rFonts w:eastAsia="Arial" w:cs="Andalus"/>
          <w:sz w:val="24"/>
          <w:szCs w:val="24"/>
          <w:lang w:val="uz-Cyrl-UZ"/>
        </w:rPr>
        <w:t>Your data will be processed by automated means, including profiling.</w:t>
      </w:r>
    </w:p>
    <w:p w14:paraId="7C19B98A" w14:textId="77777777" w:rsidR="00645240" w:rsidRPr="001C763F" w:rsidRDefault="00963D18" w:rsidP="001C763F">
      <w:pPr>
        <w:spacing w:after="0"/>
        <w:ind w:right="142"/>
        <w:jc w:val="both"/>
        <w:rPr>
          <w:rFonts w:cs="Andalus"/>
          <w:sz w:val="24"/>
          <w:szCs w:val="24"/>
          <w:lang w:val="en-US"/>
        </w:rPr>
      </w:pPr>
      <w:r w:rsidRPr="00645240">
        <w:rPr>
          <w:rFonts w:cs="Andalus"/>
          <w:iCs/>
          <w:sz w:val="24"/>
          <w:szCs w:val="24"/>
          <w:lang w:val="en-GB"/>
        </w:rPr>
        <w:t>Date, pl</w:t>
      </w:r>
      <w:r w:rsidR="00645240" w:rsidRPr="00645240">
        <w:rPr>
          <w:rFonts w:cs="Andalus"/>
          <w:iCs/>
          <w:sz w:val="24"/>
          <w:szCs w:val="24"/>
          <w:lang w:val="en-GB"/>
        </w:rPr>
        <w:t>ace</w:t>
      </w:r>
      <w:r w:rsidR="00645240" w:rsidRPr="00645240">
        <w:rPr>
          <w:rFonts w:cs="Andalus"/>
          <w:i/>
          <w:iCs/>
          <w:sz w:val="24"/>
          <w:szCs w:val="24"/>
          <w:lang w:val="en-GB"/>
        </w:rPr>
        <w:t>:</w:t>
      </w:r>
      <w:r w:rsidRPr="00645240">
        <w:rPr>
          <w:rFonts w:cs="Andalus"/>
          <w:i/>
          <w:iCs/>
          <w:sz w:val="24"/>
          <w:szCs w:val="24"/>
          <w:lang w:val="en-GB"/>
        </w:rPr>
        <w:t xml:space="preserve">                                 </w:t>
      </w:r>
    </w:p>
    <w:p w14:paraId="01EFD866" w14:textId="77777777" w:rsidR="00645240" w:rsidRPr="00645240" w:rsidRDefault="00963D18" w:rsidP="00694571">
      <w:pPr>
        <w:spacing w:after="0" w:line="240" w:lineRule="auto"/>
        <w:ind w:right="142"/>
        <w:jc w:val="both"/>
        <w:rPr>
          <w:lang w:val="en-US"/>
        </w:rPr>
      </w:pPr>
      <w:r w:rsidRPr="00645240">
        <w:rPr>
          <w:rFonts w:cs="Andalus"/>
          <w:iCs/>
          <w:sz w:val="24"/>
          <w:szCs w:val="24"/>
          <w:lang w:val="en-GB"/>
        </w:rPr>
        <w:t>Signature</w:t>
      </w:r>
      <w:r w:rsidRPr="00645240">
        <w:rPr>
          <w:rFonts w:cs="Andalus"/>
          <w:iCs/>
          <w:sz w:val="20"/>
          <w:szCs w:val="20"/>
          <w:lang w:val="en-GB"/>
        </w:rPr>
        <w:t xml:space="preserve">: </w:t>
      </w:r>
    </w:p>
    <w:p w14:paraId="694D7EDE" w14:textId="77777777" w:rsidR="00963D18" w:rsidRPr="00963D18" w:rsidRDefault="00963D18" w:rsidP="00694571">
      <w:pPr>
        <w:spacing w:after="0"/>
        <w:rPr>
          <w:lang w:val="en-US"/>
        </w:rPr>
      </w:pPr>
    </w:p>
    <w:sectPr w:rsidR="00963D18" w:rsidRPr="0096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0DAF"/>
    <w:multiLevelType w:val="hybridMultilevel"/>
    <w:tmpl w:val="343EB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721B8"/>
    <w:multiLevelType w:val="hybridMultilevel"/>
    <w:tmpl w:val="A694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236580">
    <w:abstractNumId w:val="1"/>
  </w:num>
  <w:num w:numId="2" w16cid:durableId="38680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72"/>
    <w:rsid w:val="001C763F"/>
    <w:rsid w:val="002E3443"/>
    <w:rsid w:val="00571E0A"/>
    <w:rsid w:val="00645240"/>
    <w:rsid w:val="00694571"/>
    <w:rsid w:val="00963D18"/>
    <w:rsid w:val="00A929BC"/>
    <w:rsid w:val="00C04F72"/>
    <w:rsid w:val="00D51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9F92"/>
  <w15:chartTrackingRefBased/>
  <w15:docId w15:val="{B2F5834E-EE62-450C-83EA-4CA0E8E8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5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3D18"/>
    <w:pPr>
      <w:ind w:left="720"/>
      <w:contextualSpacing/>
    </w:pPr>
  </w:style>
  <w:style w:type="paragraph" w:customStyle="1" w:styleId="Normalny1">
    <w:name w:val="Normalny1"/>
    <w:rsid w:val="00963D18"/>
    <w:pPr>
      <w:spacing w:after="0" w:line="276" w:lineRule="auto"/>
    </w:pPr>
    <w:rPr>
      <w:rFonts w:ascii="Arial" w:eastAsia="Arial" w:hAnsi="Arial" w:cs="Arial"/>
      <w:lang w:val="uz-Cyrl-UZ"/>
    </w:rPr>
  </w:style>
  <w:style w:type="character" w:styleId="Hipercze">
    <w:name w:val="Hyperlink"/>
    <w:basedOn w:val="Domylnaczcionkaakapitu"/>
    <w:uiPriority w:val="99"/>
    <w:unhideWhenUsed/>
    <w:rsid w:val="001C763F"/>
    <w:rPr>
      <w:color w:val="0563C1" w:themeColor="hyperlink"/>
      <w:u w:val="single"/>
    </w:rPr>
  </w:style>
  <w:style w:type="character" w:styleId="Pogrubienie">
    <w:name w:val="Strong"/>
    <w:basedOn w:val="Domylnaczcionkaakapitu"/>
    <w:uiPriority w:val="22"/>
    <w:qFormat/>
    <w:rsid w:val="001C763F"/>
    <w:rPr>
      <w:b/>
      <w:bCs/>
    </w:rPr>
  </w:style>
  <w:style w:type="character" w:styleId="Nierozpoznanawzmianka">
    <w:name w:val="Unresolved Mention"/>
    <w:basedOn w:val="Domylnaczcionkaakapitu"/>
    <w:uiPriority w:val="99"/>
    <w:semiHidden/>
    <w:unhideWhenUsed/>
    <w:rsid w:val="002E3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npoplawska\AppData\Local\Microsoft\Windows\INetCache\Content.Outlook\G8X50NFC\iod@pol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2B85-FB26-4D77-BD23-AD23A75E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2566</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Wójcicka-Warda Joanna</dc:creator>
  <cp:keywords/>
  <dc:description/>
  <cp:lastModifiedBy>Natalia Popławska</cp:lastModifiedBy>
  <cp:revision>2</cp:revision>
  <dcterms:created xsi:type="dcterms:W3CDTF">2022-05-26T09:35:00Z</dcterms:created>
  <dcterms:modified xsi:type="dcterms:W3CDTF">2022-05-26T09:35:00Z</dcterms:modified>
</cp:coreProperties>
</file>