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3924" w14:textId="1B0FA84B" w:rsidR="00625E5E" w:rsidRPr="001045FA" w:rsidRDefault="00CF5BB9" w:rsidP="003E5C1B">
      <w:pPr>
        <w:spacing w:line="360" w:lineRule="auto"/>
        <w:jc w:val="right"/>
        <w:rPr>
          <w:rFonts w:asciiTheme="majorHAnsi" w:hAnsiTheme="majorHAnsi" w:cs="Arial"/>
        </w:rPr>
      </w:pPr>
      <w:r w:rsidRPr="001045FA">
        <w:rPr>
          <w:rFonts w:asciiTheme="majorHAnsi" w:hAnsiTheme="majorHAnsi" w:cs="Arial"/>
        </w:rPr>
        <w:t>Warszawa,</w:t>
      </w:r>
      <w:r w:rsidR="001B5F59" w:rsidRPr="001045FA">
        <w:rPr>
          <w:rFonts w:asciiTheme="majorHAnsi" w:hAnsiTheme="majorHAnsi" w:cs="Arial"/>
        </w:rPr>
        <w:t xml:space="preserve"> </w:t>
      </w:r>
      <w:r w:rsidR="00A84293" w:rsidRPr="001045FA">
        <w:rPr>
          <w:rFonts w:asciiTheme="majorHAnsi" w:hAnsiTheme="majorHAnsi" w:cs="Arial"/>
        </w:rPr>
        <w:t>3</w:t>
      </w:r>
      <w:r w:rsidR="00FF3388" w:rsidRPr="001045FA">
        <w:rPr>
          <w:rFonts w:asciiTheme="majorHAnsi" w:hAnsiTheme="majorHAnsi" w:cs="Arial"/>
        </w:rPr>
        <w:t xml:space="preserve"> czerwca 2026 r.</w:t>
      </w:r>
    </w:p>
    <w:p w14:paraId="2E2A30D7" w14:textId="77777777" w:rsidR="00A84293" w:rsidRPr="007A6EF2" w:rsidRDefault="00A84293" w:rsidP="003E5C1B">
      <w:pPr>
        <w:spacing w:line="360" w:lineRule="auto"/>
        <w:jc w:val="right"/>
        <w:rPr>
          <w:rFonts w:asciiTheme="majorHAnsi" w:hAnsiTheme="majorHAnsi" w:cs="Arial"/>
          <w:sz w:val="24"/>
          <w:szCs w:val="24"/>
        </w:rPr>
      </w:pPr>
    </w:p>
    <w:p w14:paraId="1EF4C92E" w14:textId="0921DD16" w:rsidR="00A84293" w:rsidRPr="003E5C1B" w:rsidRDefault="00A84293" w:rsidP="003E5C1B">
      <w:pPr>
        <w:spacing w:line="360" w:lineRule="auto"/>
        <w:jc w:val="center"/>
        <w:rPr>
          <w:rFonts w:asciiTheme="majorHAnsi" w:eastAsiaTheme="majorEastAsia" w:hAnsiTheme="majorHAnsi" w:cs="Arial"/>
          <w:b/>
          <w:bCs/>
          <w:sz w:val="36"/>
          <w:szCs w:val="36"/>
        </w:rPr>
      </w:pPr>
      <w:r w:rsidRPr="00A84293">
        <w:rPr>
          <w:rFonts w:asciiTheme="majorHAnsi" w:eastAsiaTheme="majorEastAsia" w:hAnsiTheme="majorHAnsi" w:cs="Arial"/>
          <w:b/>
          <w:bCs/>
          <w:sz w:val="36"/>
          <w:szCs w:val="36"/>
        </w:rPr>
        <w:t>Żydowskie Dziedzictwo Kulturowe 2026–2031</w:t>
      </w:r>
    </w:p>
    <w:p w14:paraId="345ADCB7" w14:textId="082A4C24" w:rsidR="004A0F7D" w:rsidRPr="003E5C1B" w:rsidRDefault="00A84293" w:rsidP="00B85478">
      <w:pPr>
        <w:spacing w:line="360" w:lineRule="auto"/>
        <w:rPr>
          <w:rFonts w:asciiTheme="majorHAnsi" w:eastAsiaTheme="majorEastAsia" w:hAnsiTheme="majorHAnsi" w:cs="Arial"/>
          <w:b/>
          <w:bCs/>
          <w:sz w:val="24"/>
          <w:szCs w:val="24"/>
        </w:rPr>
      </w:pPr>
      <w:r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>Muzeum POLIN rozpocz</w:t>
      </w:r>
      <w:r w:rsidR="003F2937"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>ęło</w:t>
      </w:r>
      <w:r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trzecią edycję projektu „Żydowskie Dziedzictwo Kulturowe”, którego celem jest ochrona i popularyzacja dziedzictwa żydowskiego. Projekt kładzie nacisk na edukację historyczną i kulturową jako </w:t>
      </w:r>
      <w:r w:rsidR="00F13828"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ważnych </w:t>
      </w:r>
      <w:r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>narzędzi zwalczania antysemityzmu, uprzedzeń oraz budowania demokratycznego społeczeństwa opartego na szacunku i otwartości.  </w:t>
      </w:r>
      <w:r w:rsidR="00F13828"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Działania w ramach ŻDK będą </w:t>
      </w:r>
      <w:r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>realizowan</w:t>
      </w:r>
      <w:r w:rsidR="00F13828"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>e</w:t>
      </w:r>
      <w:r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w </w:t>
      </w:r>
      <w:r w:rsidR="00F13828"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okresie pięciu lat </w:t>
      </w:r>
      <w:proofErr w:type="gramStart"/>
      <w:r w:rsidR="00F13828"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od </w:t>
      </w:r>
      <w:r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2026</w:t>
      </w:r>
      <w:proofErr w:type="gramEnd"/>
      <w:r w:rsidR="00F13828"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do</w:t>
      </w:r>
      <w:r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>2031</w:t>
      </w:r>
      <w:r w:rsidR="00F13828"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roku. </w:t>
      </w:r>
      <w:r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</w:t>
      </w:r>
      <w:r w:rsidR="00F13828"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Muzeum POLIN zrealizuje w tym czasie </w:t>
      </w:r>
      <w:r w:rsidR="00B85478" w:rsidRPr="00B85478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9,5 tys. </w:t>
      </w:r>
      <w:r w:rsidR="00F13828"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>wydarzeń, działań edukacyjnych i inicjatyw społecznych, które dotrą do ponad 11,5 milionów odbiorców w Polsce i za granicą</w:t>
      </w:r>
      <w:r w:rsidR="00B85478">
        <w:rPr>
          <w:rFonts w:asciiTheme="majorHAnsi" w:eastAsiaTheme="majorEastAsia" w:hAnsiTheme="majorHAnsi" w:cs="Arial"/>
          <w:b/>
          <w:bCs/>
          <w:sz w:val="24"/>
          <w:szCs w:val="24"/>
        </w:rPr>
        <w:t>.</w:t>
      </w:r>
      <w:r w:rsidR="00F13828"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</w:t>
      </w:r>
      <w:r w:rsidR="0050235B"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To przedsięwzięcie jest możliwe </w:t>
      </w:r>
      <w:r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>dzięki</w:t>
      </w:r>
      <w:r w:rsidR="0050235B"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partnerstwom i</w:t>
      </w:r>
      <w:r w:rsidRPr="003E5C1B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wsparciu ze środków Norweskiego Mechanizmu Finansowego oraz budżetu państwa.</w:t>
      </w:r>
    </w:p>
    <w:p w14:paraId="1F04676D" w14:textId="45E26F89" w:rsidR="00A84293" w:rsidRPr="001045FA" w:rsidRDefault="00A84293" w:rsidP="003E5C1B">
      <w:pPr>
        <w:spacing w:line="360" w:lineRule="auto"/>
        <w:rPr>
          <w:rFonts w:asciiTheme="majorHAnsi" w:eastAsiaTheme="majorEastAsia" w:hAnsiTheme="majorHAnsi" w:cs="Arial"/>
        </w:rPr>
      </w:pPr>
      <w:r w:rsidRPr="001045FA">
        <w:rPr>
          <w:rFonts w:asciiTheme="majorHAnsi" w:eastAsiaTheme="majorEastAsia" w:hAnsiTheme="majorHAnsi" w:cs="Arial"/>
        </w:rPr>
        <w:t xml:space="preserve">W nowej edycji programu „Żydowskie Dziedzictwo Kulturowe” Muzeum POLIN kontynuuje i wzmacnia dotychczasowe działania edukacyjne i społeczne. W ramach projektu rozwijane będą innowacyjne programy edukacyjne. Muzeum planuje również </w:t>
      </w:r>
      <w:r w:rsidR="00F13828">
        <w:rPr>
          <w:rFonts w:asciiTheme="majorHAnsi" w:eastAsiaTheme="majorEastAsia" w:hAnsiTheme="majorHAnsi" w:cs="Arial"/>
        </w:rPr>
        <w:t xml:space="preserve">dalszą </w:t>
      </w:r>
      <w:r w:rsidRPr="001045FA">
        <w:rPr>
          <w:rFonts w:asciiTheme="majorHAnsi" w:eastAsiaTheme="majorEastAsia" w:hAnsiTheme="majorHAnsi" w:cs="Arial"/>
        </w:rPr>
        <w:t>digitalizację i udostępnienie zasobów, żeby zapewnić dostęp do sprawdzonych i wiarygodnych informacji i źródeł historycznych. Kolejnym elementem</w:t>
      </w:r>
      <w:r w:rsidR="004A0F7D" w:rsidRPr="001045FA">
        <w:rPr>
          <w:rFonts w:asciiTheme="majorHAnsi" w:eastAsiaTheme="majorEastAsia" w:hAnsiTheme="majorHAnsi" w:cs="Arial"/>
        </w:rPr>
        <w:t xml:space="preserve"> projektu jest</w:t>
      </w:r>
      <w:r w:rsidRPr="001045FA">
        <w:rPr>
          <w:rFonts w:asciiTheme="majorHAnsi" w:eastAsiaTheme="majorEastAsia" w:hAnsiTheme="majorHAnsi" w:cs="Arial"/>
        </w:rPr>
        <w:t xml:space="preserve"> </w:t>
      </w:r>
      <w:r w:rsidR="004A0F7D" w:rsidRPr="001045FA">
        <w:rPr>
          <w:rFonts w:asciiTheme="majorHAnsi" w:eastAsiaTheme="majorEastAsia" w:hAnsiTheme="majorHAnsi" w:cs="Arial"/>
        </w:rPr>
        <w:t xml:space="preserve">wspieranie </w:t>
      </w:r>
      <w:r w:rsidRPr="001045FA">
        <w:rPr>
          <w:rFonts w:asciiTheme="majorHAnsi" w:eastAsiaTheme="majorEastAsia" w:hAnsiTheme="majorHAnsi" w:cs="Arial"/>
        </w:rPr>
        <w:t>os</w:t>
      </w:r>
      <w:r w:rsidR="004A0F7D" w:rsidRPr="001045FA">
        <w:rPr>
          <w:rFonts w:asciiTheme="majorHAnsi" w:eastAsiaTheme="majorEastAsia" w:hAnsiTheme="majorHAnsi" w:cs="Arial"/>
        </w:rPr>
        <w:t>ób</w:t>
      </w:r>
      <w:r w:rsidRPr="001045FA">
        <w:rPr>
          <w:rFonts w:asciiTheme="majorHAnsi" w:eastAsiaTheme="majorEastAsia" w:hAnsiTheme="majorHAnsi" w:cs="Arial"/>
        </w:rPr>
        <w:t xml:space="preserve"> zaangażowan</w:t>
      </w:r>
      <w:r w:rsidR="004A0F7D" w:rsidRPr="001045FA">
        <w:rPr>
          <w:rFonts w:asciiTheme="majorHAnsi" w:eastAsiaTheme="majorEastAsia" w:hAnsiTheme="majorHAnsi" w:cs="Arial"/>
        </w:rPr>
        <w:t>ych</w:t>
      </w:r>
      <w:r w:rsidRPr="001045FA">
        <w:rPr>
          <w:rFonts w:asciiTheme="majorHAnsi" w:eastAsiaTheme="majorEastAsia" w:hAnsiTheme="majorHAnsi" w:cs="Arial"/>
        </w:rPr>
        <w:t xml:space="preserve"> w ochronę i popularyzację dziedzictwa żydowskiego w małych miejscowościach.</w:t>
      </w:r>
    </w:p>
    <w:p w14:paraId="07008802" w14:textId="1D77BDC2" w:rsidR="00A84293" w:rsidRPr="001045FA" w:rsidRDefault="00A84293" w:rsidP="003E5C1B">
      <w:pPr>
        <w:spacing w:line="360" w:lineRule="auto"/>
        <w:rPr>
          <w:rFonts w:asciiTheme="majorHAnsi" w:eastAsiaTheme="majorEastAsia" w:hAnsiTheme="majorHAnsi" w:cs="Arial"/>
        </w:rPr>
      </w:pPr>
      <w:r w:rsidRPr="001045FA">
        <w:rPr>
          <w:rFonts w:asciiTheme="majorHAnsi" w:eastAsiaTheme="majorEastAsia" w:hAnsiTheme="majorHAnsi" w:cs="Arial"/>
        </w:rPr>
        <w:t xml:space="preserve">W latach 2026–2031 </w:t>
      </w:r>
      <w:r w:rsidR="004A0F7D" w:rsidRPr="001045FA">
        <w:rPr>
          <w:rFonts w:asciiTheme="majorHAnsi" w:eastAsiaTheme="majorEastAsia" w:hAnsiTheme="majorHAnsi" w:cs="Arial"/>
        </w:rPr>
        <w:t xml:space="preserve">Muzeum POLIN </w:t>
      </w:r>
      <w:r w:rsidRPr="001045FA">
        <w:rPr>
          <w:rFonts w:asciiTheme="majorHAnsi" w:eastAsiaTheme="majorEastAsia" w:hAnsiTheme="majorHAnsi" w:cs="Arial"/>
        </w:rPr>
        <w:t xml:space="preserve">zrealizuje </w:t>
      </w:r>
      <w:r w:rsidR="00B85478">
        <w:rPr>
          <w:rFonts w:asciiTheme="majorHAnsi" w:eastAsiaTheme="majorEastAsia" w:hAnsiTheme="majorHAnsi" w:cs="Arial"/>
          <w:b/>
          <w:bCs/>
        </w:rPr>
        <w:t>9,5 tys.</w:t>
      </w:r>
      <w:r w:rsidRPr="001045FA">
        <w:rPr>
          <w:rFonts w:asciiTheme="majorHAnsi" w:eastAsiaTheme="majorEastAsia" w:hAnsiTheme="majorHAnsi" w:cs="Arial"/>
          <w:b/>
          <w:bCs/>
        </w:rPr>
        <w:t xml:space="preserve"> tysięcy wydarzeń, działań edukacyjnych i inicjatyw społecznych</w:t>
      </w:r>
      <w:r w:rsidRPr="001045FA">
        <w:rPr>
          <w:rFonts w:asciiTheme="majorHAnsi" w:eastAsiaTheme="majorEastAsia" w:hAnsiTheme="majorHAnsi" w:cs="Arial"/>
        </w:rPr>
        <w:t xml:space="preserve">, </w:t>
      </w:r>
      <w:r w:rsidR="004A0F7D" w:rsidRPr="001045FA">
        <w:rPr>
          <w:rFonts w:asciiTheme="majorHAnsi" w:eastAsiaTheme="majorEastAsia" w:hAnsiTheme="majorHAnsi" w:cs="Arial"/>
        </w:rPr>
        <w:t>które dotrą</w:t>
      </w:r>
      <w:r w:rsidRPr="001045FA">
        <w:rPr>
          <w:rFonts w:asciiTheme="majorHAnsi" w:eastAsiaTheme="majorEastAsia" w:hAnsiTheme="majorHAnsi" w:cs="Arial"/>
        </w:rPr>
        <w:t xml:space="preserve"> do ponad </w:t>
      </w:r>
      <w:r w:rsidRPr="001045FA">
        <w:rPr>
          <w:rFonts w:asciiTheme="majorHAnsi" w:eastAsiaTheme="majorEastAsia" w:hAnsiTheme="majorHAnsi" w:cs="Arial"/>
          <w:b/>
          <w:bCs/>
        </w:rPr>
        <w:t>11,5 milionów odbiorców</w:t>
      </w:r>
      <w:r w:rsidRPr="001045FA">
        <w:rPr>
          <w:rFonts w:asciiTheme="majorHAnsi" w:eastAsiaTheme="majorEastAsia" w:hAnsiTheme="majorHAnsi" w:cs="Arial"/>
        </w:rPr>
        <w:t xml:space="preserve"> w Polsce i za granicą</w:t>
      </w:r>
      <w:r w:rsidR="00B85478">
        <w:rPr>
          <w:rFonts w:asciiTheme="majorHAnsi" w:eastAsiaTheme="majorEastAsia" w:hAnsiTheme="majorHAnsi" w:cs="Arial"/>
        </w:rPr>
        <w:t xml:space="preserve">, w tym do </w:t>
      </w:r>
      <w:r w:rsidR="00B85478" w:rsidRPr="00B85478">
        <w:rPr>
          <w:rFonts w:asciiTheme="majorHAnsi" w:eastAsiaTheme="majorEastAsia" w:hAnsiTheme="majorHAnsi" w:cs="Arial"/>
        </w:rPr>
        <w:t xml:space="preserve">28 tys. </w:t>
      </w:r>
      <w:r w:rsidR="00B85478">
        <w:rPr>
          <w:rFonts w:asciiTheme="majorHAnsi" w:eastAsiaTheme="majorEastAsia" w:hAnsiTheme="majorHAnsi" w:cs="Arial"/>
        </w:rPr>
        <w:t>polskich szkół.</w:t>
      </w:r>
    </w:p>
    <w:p w14:paraId="2CCEF75E" w14:textId="18C30854" w:rsidR="004A0F7D" w:rsidRPr="001045FA" w:rsidRDefault="004A0F7D" w:rsidP="003E5C1B">
      <w:pPr>
        <w:spacing w:line="360" w:lineRule="auto"/>
        <w:rPr>
          <w:rFonts w:asciiTheme="majorHAnsi" w:eastAsiaTheme="majorEastAsia" w:hAnsiTheme="majorHAnsi" w:cs="Arial"/>
          <w:b/>
          <w:bCs/>
          <w:sz w:val="24"/>
          <w:szCs w:val="24"/>
        </w:rPr>
      </w:pPr>
      <w:r w:rsidRPr="001045FA">
        <w:rPr>
          <w:rFonts w:asciiTheme="majorHAnsi" w:eastAsiaTheme="majorEastAsia" w:hAnsiTheme="majorHAnsi" w:cs="Arial"/>
          <w:b/>
          <w:bCs/>
          <w:sz w:val="24"/>
          <w:szCs w:val="24"/>
        </w:rPr>
        <w:t>Dziewięć obszarów działania</w:t>
      </w:r>
    </w:p>
    <w:p w14:paraId="3A6E6C2D" w14:textId="66E7072D" w:rsidR="00A84293" w:rsidRPr="001045FA" w:rsidRDefault="004A0F7D" w:rsidP="003E5C1B">
      <w:pPr>
        <w:spacing w:line="360" w:lineRule="auto"/>
        <w:rPr>
          <w:rFonts w:asciiTheme="majorHAnsi" w:eastAsiaTheme="majorEastAsia" w:hAnsiTheme="majorHAnsi" w:cs="Arial"/>
        </w:rPr>
      </w:pPr>
      <w:r w:rsidRPr="001045FA">
        <w:rPr>
          <w:rFonts w:asciiTheme="majorHAnsi" w:eastAsiaTheme="majorEastAsia" w:hAnsiTheme="majorHAnsi" w:cs="Arial"/>
        </w:rPr>
        <w:t xml:space="preserve">Na trzecią edycję projektu „Żydowskie Dziedzictwo Kulturowe” składa się dziewięć </w:t>
      </w:r>
      <w:r w:rsidR="00A84293" w:rsidRPr="001045FA">
        <w:rPr>
          <w:rFonts w:asciiTheme="majorHAnsi" w:eastAsiaTheme="majorEastAsia" w:hAnsiTheme="majorHAnsi" w:cs="Arial"/>
        </w:rPr>
        <w:t>obszarów</w:t>
      </w:r>
      <w:r w:rsidRPr="001045FA">
        <w:rPr>
          <w:rFonts w:asciiTheme="majorHAnsi" w:eastAsiaTheme="majorEastAsia" w:hAnsiTheme="majorHAnsi" w:cs="Arial"/>
        </w:rPr>
        <w:t xml:space="preserve"> ukierunkowanego działania:</w:t>
      </w:r>
    </w:p>
    <w:p w14:paraId="3938BDB5" w14:textId="77777777" w:rsidR="00A84293" w:rsidRPr="001045FA" w:rsidRDefault="00A84293" w:rsidP="003E5C1B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="Arial"/>
        </w:rPr>
      </w:pPr>
      <w:r w:rsidRPr="001045FA">
        <w:rPr>
          <w:rFonts w:asciiTheme="majorHAnsi" w:eastAsiaTheme="majorEastAsia" w:hAnsiTheme="majorHAnsi" w:cs="Arial"/>
          <w:b/>
          <w:bCs/>
        </w:rPr>
        <w:t>Edukacja dla przyszłości</w:t>
      </w:r>
      <w:r w:rsidRPr="001045FA">
        <w:rPr>
          <w:rFonts w:asciiTheme="majorHAnsi" w:eastAsiaTheme="majorEastAsia" w:hAnsiTheme="majorHAnsi" w:cs="Arial"/>
        </w:rPr>
        <w:t> – warsztaty, zajęcia i programy stacjonarne i online dla dzieci, młodzieży, rodzin oraz grup zagrożonych wykluczeniem;</w:t>
      </w:r>
    </w:p>
    <w:p w14:paraId="50D2ADE8" w14:textId="77777777" w:rsidR="00A84293" w:rsidRPr="001045FA" w:rsidRDefault="00A84293" w:rsidP="003E5C1B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="Arial"/>
        </w:rPr>
      </w:pPr>
      <w:r w:rsidRPr="001045FA">
        <w:rPr>
          <w:rFonts w:asciiTheme="majorHAnsi" w:eastAsiaTheme="majorEastAsia" w:hAnsiTheme="majorHAnsi" w:cs="Arial"/>
          <w:b/>
          <w:bCs/>
        </w:rPr>
        <w:lastRenderedPageBreak/>
        <w:t>Akcja Żonkile</w:t>
      </w:r>
      <w:r w:rsidRPr="001045FA">
        <w:rPr>
          <w:rFonts w:asciiTheme="majorHAnsi" w:eastAsiaTheme="majorEastAsia" w:hAnsiTheme="majorHAnsi" w:cs="Arial"/>
        </w:rPr>
        <w:t> – ogólnopolska kampania społeczno-edukacyjna skierowana do szkół, bibliotek i szerokiej publiczności;</w:t>
      </w:r>
    </w:p>
    <w:p w14:paraId="3D667F5D" w14:textId="77777777" w:rsidR="00A84293" w:rsidRPr="001045FA" w:rsidRDefault="00A84293" w:rsidP="003E5C1B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="Arial"/>
        </w:rPr>
      </w:pPr>
      <w:r w:rsidRPr="001045FA">
        <w:rPr>
          <w:rFonts w:asciiTheme="majorHAnsi" w:eastAsiaTheme="majorEastAsia" w:hAnsiTheme="majorHAnsi" w:cs="Arial"/>
          <w:b/>
          <w:bCs/>
        </w:rPr>
        <w:t>Edukacja włączająca</w:t>
      </w:r>
      <w:r w:rsidRPr="001045FA">
        <w:rPr>
          <w:rFonts w:asciiTheme="majorHAnsi" w:eastAsiaTheme="majorEastAsia" w:hAnsiTheme="majorHAnsi" w:cs="Arial"/>
        </w:rPr>
        <w:t> – konferencje i seminaria dla nauczycieli, edukatorów i specjalistów pracujących z różnymi grupami społecznymi;</w:t>
      </w:r>
    </w:p>
    <w:p w14:paraId="2030E3B6" w14:textId="77777777" w:rsidR="00A84293" w:rsidRPr="001045FA" w:rsidRDefault="00A84293" w:rsidP="003E5C1B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="Arial"/>
        </w:rPr>
      </w:pPr>
      <w:r w:rsidRPr="001045FA">
        <w:rPr>
          <w:rFonts w:asciiTheme="majorHAnsi" w:eastAsiaTheme="majorEastAsia" w:hAnsiTheme="majorHAnsi" w:cs="Arial"/>
          <w:b/>
          <w:bCs/>
        </w:rPr>
        <w:t>Budowanie relacji i zrozumienia</w:t>
      </w:r>
      <w:r w:rsidRPr="001045FA">
        <w:rPr>
          <w:rFonts w:asciiTheme="majorHAnsi" w:eastAsiaTheme="majorEastAsia" w:hAnsiTheme="majorHAnsi" w:cs="Arial"/>
        </w:rPr>
        <w:t> – programy kulturalne i publiczne dla mieszkańców Warszawy i ogólnopolskiej publiczności;</w:t>
      </w:r>
    </w:p>
    <w:p w14:paraId="0E9C7731" w14:textId="77777777" w:rsidR="00A84293" w:rsidRPr="001045FA" w:rsidRDefault="00A84293" w:rsidP="003E5C1B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="Arial"/>
        </w:rPr>
      </w:pPr>
      <w:r w:rsidRPr="001045FA">
        <w:rPr>
          <w:rFonts w:asciiTheme="majorHAnsi" w:eastAsiaTheme="majorEastAsia" w:hAnsiTheme="majorHAnsi" w:cs="Arial"/>
          <w:b/>
          <w:bCs/>
        </w:rPr>
        <w:t>Zrozumieć przeszłość</w:t>
      </w:r>
      <w:r w:rsidRPr="001045FA">
        <w:rPr>
          <w:rFonts w:asciiTheme="majorHAnsi" w:eastAsiaTheme="majorEastAsia" w:hAnsiTheme="majorHAnsi" w:cs="Arial"/>
        </w:rPr>
        <w:t> – digitalizacja i udostępnianie dokumentacji i zbiorów, we współpracy z Żydowskim Instytutem Historycznym;</w:t>
      </w:r>
    </w:p>
    <w:p w14:paraId="23953D83" w14:textId="77777777" w:rsidR="00A84293" w:rsidRPr="001045FA" w:rsidRDefault="00A84293" w:rsidP="003E5C1B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="Arial"/>
        </w:rPr>
      </w:pPr>
      <w:r w:rsidRPr="001045FA">
        <w:rPr>
          <w:rFonts w:asciiTheme="majorHAnsi" w:eastAsiaTheme="majorEastAsia" w:hAnsiTheme="majorHAnsi" w:cs="Arial"/>
          <w:b/>
          <w:bCs/>
        </w:rPr>
        <w:t>Muzeum lokalnie</w:t>
      </w:r>
      <w:r w:rsidRPr="001045FA">
        <w:rPr>
          <w:rFonts w:asciiTheme="majorHAnsi" w:eastAsiaTheme="majorEastAsia" w:hAnsiTheme="majorHAnsi" w:cs="Arial"/>
        </w:rPr>
        <w:t> – wsparcie liderów i instytucji w mniejszych miejscowościach we współpracy z Fundacją Forum Dialogu;</w:t>
      </w:r>
    </w:p>
    <w:p w14:paraId="2F659299" w14:textId="77777777" w:rsidR="00A84293" w:rsidRPr="001045FA" w:rsidRDefault="00A84293" w:rsidP="003E5C1B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="Arial"/>
        </w:rPr>
      </w:pPr>
      <w:r w:rsidRPr="001045FA">
        <w:rPr>
          <w:rFonts w:asciiTheme="majorHAnsi" w:eastAsiaTheme="majorEastAsia" w:hAnsiTheme="majorHAnsi" w:cs="Arial"/>
          <w:b/>
          <w:bCs/>
        </w:rPr>
        <w:t>Muzeum dla młodych</w:t>
      </w:r>
      <w:r w:rsidRPr="001045FA">
        <w:rPr>
          <w:rFonts w:asciiTheme="majorHAnsi" w:eastAsiaTheme="majorEastAsia" w:hAnsiTheme="majorHAnsi" w:cs="Arial"/>
        </w:rPr>
        <w:t> – nowe narzędzia edukacyjne i działania w Internecie skierowane do nastolatków i młodych dorosłych;</w:t>
      </w:r>
    </w:p>
    <w:p w14:paraId="66B5C069" w14:textId="77777777" w:rsidR="00A84293" w:rsidRPr="001045FA" w:rsidRDefault="00A84293" w:rsidP="003E5C1B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="Arial"/>
        </w:rPr>
      </w:pPr>
      <w:r w:rsidRPr="001045FA">
        <w:rPr>
          <w:rFonts w:asciiTheme="majorHAnsi" w:eastAsiaTheme="majorEastAsia" w:hAnsiTheme="majorHAnsi" w:cs="Arial"/>
          <w:b/>
          <w:bCs/>
        </w:rPr>
        <w:t>Rozwój wystawy stałej</w:t>
      </w:r>
      <w:r w:rsidRPr="001045FA">
        <w:rPr>
          <w:rFonts w:asciiTheme="majorHAnsi" w:eastAsiaTheme="majorEastAsia" w:hAnsiTheme="majorHAnsi" w:cs="Arial"/>
        </w:rPr>
        <w:t> – aktualizacja treści edukacyjnych wokół wystawy "1000 lat historii Żydów polskich";</w:t>
      </w:r>
    </w:p>
    <w:p w14:paraId="2BE32E95" w14:textId="66471032" w:rsidR="004A0F7D" w:rsidRPr="003E5C1B" w:rsidRDefault="00A84293" w:rsidP="003E5C1B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="Arial"/>
        </w:rPr>
      </w:pPr>
      <w:r w:rsidRPr="001045FA">
        <w:rPr>
          <w:rFonts w:asciiTheme="majorHAnsi" w:eastAsiaTheme="majorEastAsia" w:hAnsiTheme="majorHAnsi" w:cs="Arial"/>
          <w:b/>
          <w:bCs/>
        </w:rPr>
        <w:t>Ponad granicami</w:t>
      </w:r>
      <w:r w:rsidRPr="001045FA">
        <w:rPr>
          <w:rFonts w:asciiTheme="majorHAnsi" w:eastAsiaTheme="majorEastAsia" w:hAnsiTheme="majorHAnsi" w:cs="Arial"/>
        </w:rPr>
        <w:t> – warsztaty i seminaria realizowane wspólnie z partnerami z Norwegii</w:t>
      </w:r>
    </w:p>
    <w:p w14:paraId="611D4785" w14:textId="17988F6F" w:rsidR="004A0F7D" w:rsidRPr="00A84293" w:rsidRDefault="004A0F7D" w:rsidP="003E5C1B">
      <w:pPr>
        <w:spacing w:line="360" w:lineRule="auto"/>
        <w:rPr>
          <w:rFonts w:asciiTheme="majorHAnsi" w:eastAsiaTheme="majorEastAsia" w:hAnsiTheme="majorHAnsi" w:cs="Arial"/>
          <w:sz w:val="24"/>
          <w:szCs w:val="24"/>
        </w:rPr>
      </w:pPr>
      <w:r>
        <w:rPr>
          <w:rFonts w:asciiTheme="majorHAnsi" w:eastAsiaTheme="majorEastAsia" w:hAnsiTheme="majorHAnsi" w:cs="Arial"/>
          <w:b/>
          <w:bCs/>
          <w:sz w:val="24"/>
          <w:szCs w:val="24"/>
        </w:rPr>
        <w:t>Partnerzy projektu</w:t>
      </w:r>
    </w:p>
    <w:p w14:paraId="22AF94AF" w14:textId="480B2788" w:rsidR="00A84293" w:rsidRPr="003E5C1B" w:rsidRDefault="00A84293" w:rsidP="003E5C1B">
      <w:pPr>
        <w:spacing w:line="360" w:lineRule="auto"/>
        <w:rPr>
          <w:rFonts w:asciiTheme="majorHAnsi" w:eastAsiaTheme="majorEastAsia" w:hAnsiTheme="majorHAnsi" w:cs="Arial"/>
          <w:b/>
          <w:bCs/>
        </w:rPr>
      </w:pPr>
      <w:r w:rsidRPr="003E5C1B">
        <w:rPr>
          <w:rFonts w:asciiTheme="majorHAnsi" w:eastAsiaTheme="majorEastAsia" w:hAnsiTheme="majorHAnsi" w:cs="Arial"/>
          <w:b/>
          <w:bCs/>
        </w:rPr>
        <w:t xml:space="preserve">Liderem projektu jest Muzeum Historii Żydów Polskich POLIN. Partnerami w Polsce są Żydowski Instytut Historyczny im. Emanuela </w:t>
      </w:r>
      <w:proofErr w:type="spellStart"/>
      <w:r w:rsidRPr="003E5C1B">
        <w:rPr>
          <w:rFonts w:asciiTheme="majorHAnsi" w:eastAsiaTheme="majorEastAsia" w:hAnsiTheme="majorHAnsi" w:cs="Arial"/>
          <w:b/>
          <w:bCs/>
        </w:rPr>
        <w:t>Ringelbluma</w:t>
      </w:r>
      <w:proofErr w:type="spellEnd"/>
      <w:r w:rsidRPr="003E5C1B">
        <w:rPr>
          <w:rFonts w:asciiTheme="majorHAnsi" w:eastAsiaTheme="majorEastAsia" w:hAnsiTheme="majorHAnsi" w:cs="Arial"/>
          <w:b/>
          <w:bCs/>
        </w:rPr>
        <w:t xml:space="preserve"> oraz Fundacja Forum Dialogu.</w:t>
      </w:r>
    </w:p>
    <w:p w14:paraId="0A34D23B" w14:textId="36BA7186" w:rsidR="00A84293" w:rsidRPr="001045FA" w:rsidRDefault="004A0F7D" w:rsidP="003E5C1B">
      <w:pPr>
        <w:spacing w:line="360" w:lineRule="auto"/>
        <w:rPr>
          <w:rFonts w:asciiTheme="majorHAnsi" w:eastAsiaTheme="majorEastAsia" w:hAnsiTheme="majorHAnsi" w:cs="Arial"/>
        </w:rPr>
      </w:pPr>
      <w:r w:rsidRPr="003E5C1B">
        <w:rPr>
          <w:rFonts w:asciiTheme="majorHAnsi" w:eastAsiaTheme="majorEastAsia" w:hAnsiTheme="majorHAnsi" w:cs="Arial"/>
          <w:b/>
          <w:bCs/>
        </w:rPr>
        <w:t xml:space="preserve">Muzeum POLIN współpracuje </w:t>
      </w:r>
      <w:r w:rsidR="00A84293" w:rsidRPr="003E5C1B">
        <w:rPr>
          <w:rFonts w:asciiTheme="majorHAnsi" w:eastAsiaTheme="majorEastAsia" w:hAnsiTheme="majorHAnsi" w:cs="Arial"/>
          <w:b/>
          <w:bCs/>
        </w:rPr>
        <w:t>także z instytucjami norweskimi</w:t>
      </w:r>
      <w:r w:rsidR="00A84293" w:rsidRPr="001045FA">
        <w:rPr>
          <w:rFonts w:asciiTheme="majorHAnsi" w:eastAsiaTheme="majorEastAsia" w:hAnsiTheme="majorHAnsi" w:cs="Arial"/>
        </w:rPr>
        <w:t>: Norweskim Centrum Studiów nad Holocaustem i Mniejszościami (HL-</w:t>
      </w:r>
      <w:proofErr w:type="spellStart"/>
      <w:r w:rsidR="00A84293" w:rsidRPr="001045FA">
        <w:rPr>
          <w:rFonts w:asciiTheme="majorHAnsi" w:eastAsiaTheme="majorEastAsia" w:hAnsiTheme="majorHAnsi" w:cs="Arial"/>
        </w:rPr>
        <w:t>Senteret</w:t>
      </w:r>
      <w:proofErr w:type="spellEnd"/>
      <w:r w:rsidR="00A84293" w:rsidRPr="001045FA">
        <w:rPr>
          <w:rFonts w:asciiTheme="majorHAnsi" w:eastAsiaTheme="majorEastAsia" w:hAnsiTheme="majorHAnsi" w:cs="Arial"/>
        </w:rPr>
        <w:t xml:space="preserve">), Europejskim Centrum </w:t>
      </w:r>
      <w:proofErr w:type="spellStart"/>
      <w:r w:rsidR="00A84293" w:rsidRPr="001045FA">
        <w:rPr>
          <w:rFonts w:asciiTheme="majorHAnsi" w:eastAsiaTheme="majorEastAsia" w:hAnsiTheme="majorHAnsi" w:cs="Arial"/>
        </w:rPr>
        <w:t>Wergelanda</w:t>
      </w:r>
      <w:proofErr w:type="spellEnd"/>
      <w:r w:rsidR="00A84293" w:rsidRPr="001045FA">
        <w:rPr>
          <w:rFonts w:asciiTheme="majorHAnsi" w:eastAsiaTheme="majorEastAsia" w:hAnsiTheme="majorHAnsi" w:cs="Arial"/>
        </w:rPr>
        <w:t xml:space="preserve">, Centrum </w:t>
      </w:r>
      <w:proofErr w:type="spellStart"/>
      <w:r w:rsidR="00A84293" w:rsidRPr="001045FA">
        <w:rPr>
          <w:rFonts w:asciiTheme="majorHAnsi" w:eastAsiaTheme="majorEastAsia" w:hAnsiTheme="majorHAnsi" w:cs="Arial"/>
        </w:rPr>
        <w:t>Falstad</w:t>
      </w:r>
      <w:proofErr w:type="spellEnd"/>
      <w:r w:rsidR="00A84293" w:rsidRPr="001045FA">
        <w:rPr>
          <w:rFonts w:asciiTheme="majorHAnsi" w:eastAsiaTheme="majorEastAsia" w:hAnsiTheme="majorHAnsi" w:cs="Arial"/>
        </w:rPr>
        <w:t xml:space="preserve"> oraz muzeami żydowskimi w Oslo i </w:t>
      </w:r>
      <w:proofErr w:type="spellStart"/>
      <w:r w:rsidR="00A84293" w:rsidRPr="001045FA">
        <w:rPr>
          <w:rFonts w:asciiTheme="majorHAnsi" w:eastAsiaTheme="majorEastAsia" w:hAnsiTheme="majorHAnsi" w:cs="Arial"/>
        </w:rPr>
        <w:t>Trondheim</w:t>
      </w:r>
      <w:proofErr w:type="spellEnd"/>
      <w:r w:rsidR="00A84293" w:rsidRPr="001045FA">
        <w:rPr>
          <w:rFonts w:asciiTheme="majorHAnsi" w:eastAsiaTheme="majorEastAsia" w:hAnsiTheme="majorHAnsi" w:cs="Arial"/>
        </w:rPr>
        <w:t>.</w:t>
      </w:r>
      <w:r w:rsidRPr="001045FA">
        <w:rPr>
          <w:rFonts w:asciiTheme="majorHAnsi" w:eastAsiaTheme="majorEastAsia" w:hAnsiTheme="majorHAnsi" w:cs="Arial"/>
        </w:rPr>
        <w:t xml:space="preserve"> Polsko-norweska współpraca</w:t>
      </w:r>
      <w:r w:rsidR="00A84293" w:rsidRPr="001045FA">
        <w:rPr>
          <w:rFonts w:asciiTheme="majorHAnsi" w:eastAsiaTheme="majorEastAsia" w:hAnsiTheme="majorHAnsi" w:cs="Arial"/>
        </w:rPr>
        <w:t xml:space="preserve"> </w:t>
      </w:r>
      <w:r w:rsidRPr="001045FA">
        <w:rPr>
          <w:rFonts w:asciiTheme="majorHAnsi" w:eastAsiaTheme="majorEastAsia" w:hAnsiTheme="majorHAnsi" w:cs="Arial"/>
        </w:rPr>
        <w:t xml:space="preserve">na poziomie instytucjonalnym </w:t>
      </w:r>
      <w:r w:rsidR="00A84293" w:rsidRPr="001045FA">
        <w:rPr>
          <w:rFonts w:asciiTheme="majorHAnsi" w:eastAsiaTheme="majorEastAsia" w:hAnsiTheme="majorHAnsi" w:cs="Arial"/>
        </w:rPr>
        <w:t>pozwoli łączyć doświadczenia, wymieniać wiedzę i budować trwałe relacje między instytucjami z Polski i Norwegii.</w:t>
      </w:r>
    </w:p>
    <w:p w14:paraId="2771D8BC" w14:textId="47B40757" w:rsidR="00A84293" w:rsidRPr="001045FA" w:rsidRDefault="00A84293" w:rsidP="003E5C1B">
      <w:pPr>
        <w:spacing w:line="360" w:lineRule="auto"/>
        <w:rPr>
          <w:rFonts w:asciiTheme="majorHAnsi" w:eastAsiaTheme="majorEastAsia" w:hAnsiTheme="majorHAnsi" w:cs="Arial"/>
        </w:rPr>
      </w:pPr>
      <w:r w:rsidRPr="001045FA">
        <w:rPr>
          <w:rFonts w:asciiTheme="majorHAnsi" w:eastAsiaTheme="majorEastAsia" w:hAnsiTheme="majorHAnsi" w:cs="Arial"/>
        </w:rPr>
        <w:t xml:space="preserve">Projekt jest realizowany w latach 2026–2031 dzięki wsparciu ze środków Norweskiego Mechanizmu Finansowego (85%) oraz budżetu państwa (15%) w ramach Programu </w:t>
      </w:r>
      <w:r w:rsidR="0050235B">
        <w:rPr>
          <w:rFonts w:asciiTheme="majorHAnsi" w:eastAsiaTheme="majorEastAsia" w:hAnsiTheme="majorHAnsi" w:cs="Arial"/>
        </w:rPr>
        <w:t>„</w:t>
      </w:r>
      <w:r w:rsidRPr="001045FA">
        <w:rPr>
          <w:rFonts w:asciiTheme="majorHAnsi" w:eastAsiaTheme="majorEastAsia" w:hAnsiTheme="majorHAnsi" w:cs="Arial"/>
        </w:rPr>
        <w:t>Kultura</w:t>
      </w:r>
      <w:r w:rsidR="0050235B">
        <w:rPr>
          <w:rFonts w:asciiTheme="majorHAnsi" w:eastAsiaTheme="majorEastAsia" w:hAnsiTheme="majorHAnsi" w:cs="Arial"/>
        </w:rPr>
        <w:t>”</w:t>
      </w:r>
      <w:r w:rsidRPr="001045FA">
        <w:rPr>
          <w:rFonts w:asciiTheme="majorHAnsi" w:eastAsiaTheme="majorEastAsia" w:hAnsiTheme="majorHAnsi" w:cs="Arial"/>
        </w:rPr>
        <w:t xml:space="preserve"> na lata 2021–2028.</w:t>
      </w:r>
    </w:p>
    <w:p w14:paraId="33E37410" w14:textId="601375AC" w:rsidR="004A0F7D" w:rsidRPr="004A0F7D" w:rsidRDefault="004A0F7D" w:rsidP="003E5C1B">
      <w:pPr>
        <w:spacing w:line="360" w:lineRule="auto"/>
        <w:rPr>
          <w:rFonts w:asciiTheme="majorHAnsi" w:eastAsiaTheme="majorEastAsia" w:hAnsiTheme="majorHAnsi" w:cs="Arial"/>
          <w:b/>
          <w:bCs/>
          <w:sz w:val="24"/>
          <w:szCs w:val="24"/>
        </w:rPr>
      </w:pPr>
      <w:r w:rsidRPr="004A0F7D">
        <w:rPr>
          <w:rFonts w:asciiTheme="majorHAnsi" w:eastAsiaTheme="majorEastAsia" w:hAnsiTheme="majorHAnsi" w:cs="Arial"/>
          <w:b/>
          <w:bCs/>
          <w:sz w:val="24"/>
          <w:szCs w:val="24"/>
        </w:rPr>
        <w:t>Fundusze Norweskie</w:t>
      </w:r>
    </w:p>
    <w:p w14:paraId="5096C4A0" w14:textId="1E3CDF3F" w:rsidR="004A0F7D" w:rsidRPr="001045FA" w:rsidRDefault="004A0F7D" w:rsidP="003E5C1B">
      <w:pPr>
        <w:spacing w:line="360" w:lineRule="auto"/>
        <w:rPr>
          <w:rFonts w:asciiTheme="majorHAnsi" w:eastAsiaTheme="majorEastAsia" w:hAnsiTheme="majorHAnsi" w:cs="Arial"/>
        </w:rPr>
      </w:pPr>
      <w:r w:rsidRPr="001045FA">
        <w:rPr>
          <w:rFonts w:asciiTheme="majorHAnsi" w:eastAsiaTheme="majorEastAsia" w:hAnsiTheme="majorHAnsi" w:cs="Arial"/>
        </w:rPr>
        <w:lastRenderedPageBreak/>
        <w:t>Fundusze Norweskie i EOG stanowią wkład Norwegii w budowę zielonej, demokratycznej i odpornej Europy. Dzięki tym mechanizmom finansowym Norwegia przyczynia się do zmniejszania różnic społecznych i gospodarczych w Europie oraz wzmacnia współpracę z 15 państwami-beneficjentami w Europie Środkowej i Południowej. Wsparcie to jest częścią szerszej współpracy Norwegii z Unią Europejską w ramach Porozumienia o Europejskim Obszarze Gospodarczym (EOG).</w:t>
      </w:r>
    </w:p>
    <w:p w14:paraId="7BCDBA7C" w14:textId="77777777" w:rsidR="004A0F7D" w:rsidRPr="001045FA" w:rsidRDefault="004A0F7D" w:rsidP="003E5C1B">
      <w:pPr>
        <w:spacing w:line="360" w:lineRule="auto"/>
        <w:rPr>
          <w:rFonts w:asciiTheme="majorHAnsi" w:eastAsiaTheme="majorEastAsia" w:hAnsiTheme="majorHAnsi" w:cs="Arial"/>
        </w:rPr>
      </w:pPr>
      <w:r w:rsidRPr="001045FA">
        <w:rPr>
          <w:rFonts w:asciiTheme="majorHAnsi" w:eastAsiaTheme="majorEastAsia" w:hAnsiTheme="majorHAnsi" w:cs="Arial"/>
        </w:rPr>
        <w:t>Norwegia oferuje wsparcie na dwa sposoby:</w:t>
      </w:r>
    </w:p>
    <w:p w14:paraId="1E781E43" w14:textId="77777777" w:rsidR="004A0F7D" w:rsidRPr="001045FA" w:rsidRDefault="004A0F7D" w:rsidP="003E5C1B">
      <w:pPr>
        <w:numPr>
          <w:ilvl w:val="0"/>
          <w:numId w:val="17"/>
        </w:numPr>
        <w:spacing w:line="360" w:lineRule="auto"/>
        <w:rPr>
          <w:rFonts w:asciiTheme="majorHAnsi" w:eastAsiaTheme="majorEastAsia" w:hAnsiTheme="majorHAnsi" w:cs="Arial"/>
        </w:rPr>
      </w:pPr>
      <w:r w:rsidRPr="001045FA">
        <w:rPr>
          <w:rFonts w:asciiTheme="majorHAnsi" w:eastAsiaTheme="majorEastAsia" w:hAnsiTheme="majorHAnsi" w:cs="Arial"/>
        </w:rPr>
        <w:t>Wspólnie z Islandią i Liechtensteinem finansuje Fundusze EOG.</w:t>
      </w:r>
    </w:p>
    <w:p w14:paraId="012DA385" w14:textId="77777777" w:rsidR="004A0F7D" w:rsidRPr="001045FA" w:rsidRDefault="004A0F7D" w:rsidP="003E5C1B">
      <w:pPr>
        <w:numPr>
          <w:ilvl w:val="0"/>
          <w:numId w:val="17"/>
        </w:numPr>
        <w:spacing w:line="360" w:lineRule="auto"/>
        <w:rPr>
          <w:rFonts w:asciiTheme="majorHAnsi" w:eastAsiaTheme="majorEastAsia" w:hAnsiTheme="majorHAnsi" w:cs="Arial"/>
        </w:rPr>
      </w:pPr>
      <w:r w:rsidRPr="001045FA">
        <w:rPr>
          <w:rFonts w:asciiTheme="majorHAnsi" w:eastAsiaTheme="majorEastAsia" w:hAnsiTheme="majorHAnsi" w:cs="Arial"/>
        </w:rPr>
        <w:t>Indywidualnie zapewnia dodatkowe wsparcie poprzez Fundusze Norweskie, które są finansowane wyłącznie przez Norwegię i obejmują kraje, które przystąpiły do UE po 2003 roku.</w:t>
      </w:r>
    </w:p>
    <w:p w14:paraId="1DEFD6E3" w14:textId="10F68774" w:rsidR="0050235B" w:rsidRPr="003E5C1B" w:rsidRDefault="004A0F7D" w:rsidP="003E5C1B">
      <w:pPr>
        <w:spacing w:line="360" w:lineRule="auto"/>
        <w:rPr>
          <w:rFonts w:asciiTheme="majorHAnsi" w:eastAsiaTheme="majorEastAsia" w:hAnsiTheme="majorHAnsi" w:cs="Arial"/>
        </w:rPr>
      </w:pPr>
      <w:r w:rsidRPr="001045FA">
        <w:rPr>
          <w:rFonts w:asciiTheme="majorHAnsi" w:eastAsiaTheme="majorEastAsia" w:hAnsiTheme="majorHAnsi" w:cs="Arial"/>
        </w:rPr>
        <w:t>W latach 1994–2021 trzy państwa-darczyńcy przekazały łącznie 6,1 mld euro w kolejnych okresach finansowania. Na lata 2021–2028 same Fundusze Norweskie wynoszą 1,463 mld euro.</w:t>
      </w:r>
      <w:r w:rsidR="001045FA" w:rsidRPr="001045FA">
        <w:rPr>
          <w:rFonts w:asciiTheme="majorHAnsi" w:eastAsiaTheme="majorEastAsia" w:hAnsiTheme="majorHAnsi" w:cs="Arial"/>
        </w:rPr>
        <w:t xml:space="preserve"> </w:t>
      </w:r>
      <w:r w:rsidRPr="001045FA">
        <w:rPr>
          <w:rFonts w:asciiTheme="majorHAnsi" w:eastAsiaTheme="majorEastAsia" w:hAnsiTheme="majorHAnsi" w:cs="Arial"/>
        </w:rPr>
        <w:t>Obszary programowe i dostępne środki na ten okres przedstawiono w </w:t>
      </w:r>
      <w:hyperlink r:id="rId8" w:tgtFrame="_blank" w:history="1">
        <w:r w:rsidRPr="001045FA">
          <w:rPr>
            <w:rStyle w:val="Hipercze"/>
            <w:rFonts w:asciiTheme="majorHAnsi" w:eastAsiaTheme="majorEastAsia" w:hAnsiTheme="majorHAnsi" w:cs="Arial"/>
          </w:rPr>
          <w:t xml:space="preserve">„Blue </w:t>
        </w:r>
        <w:proofErr w:type="spellStart"/>
        <w:r w:rsidRPr="001045FA">
          <w:rPr>
            <w:rStyle w:val="Hipercze"/>
            <w:rFonts w:asciiTheme="majorHAnsi" w:eastAsiaTheme="majorEastAsia" w:hAnsiTheme="majorHAnsi" w:cs="Arial"/>
          </w:rPr>
          <w:t>Book</w:t>
        </w:r>
        <w:proofErr w:type="spellEnd"/>
        <w:r w:rsidRPr="001045FA">
          <w:rPr>
            <w:rStyle w:val="Hipercze"/>
            <w:rFonts w:asciiTheme="majorHAnsi" w:eastAsiaTheme="majorEastAsia" w:hAnsiTheme="majorHAnsi" w:cs="Arial"/>
          </w:rPr>
          <w:t>”</w:t>
        </w:r>
      </w:hyperlink>
      <w:r w:rsidRPr="001045FA">
        <w:rPr>
          <w:rFonts w:asciiTheme="majorHAnsi" w:eastAsiaTheme="majorEastAsia" w:hAnsiTheme="majorHAnsi" w:cs="Arial"/>
        </w:rPr>
        <w:t>.</w:t>
      </w:r>
    </w:p>
    <w:p w14:paraId="239B7A4A" w14:textId="6B75B6B9" w:rsidR="004A0F7D" w:rsidRDefault="004A0F7D" w:rsidP="003E5C1B">
      <w:pPr>
        <w:spacing w:line="360" w:lineRule="auto"/>
        <w:rPr>
          <w:rFonts w:asciiTheme="majorHAnsi" w:eastAsiaTheme="majorEastAsia" w:hAnsiTheme="majorHAnsi" w:cs="Arial"/>
          <w:b/>
          <w:bCs/>
          <w:sz w:val="24"/>
          <w:szCs w:val="24"/>
        </w:rPr>
      </w:pPr>
      <w:r w:rsidRPr="004A0F7D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Decyzja </w:t>
      </w:r>
      <w:proofErr w:type="spellStart"/>
      <w:r w:rsidRPr="004A0F7D">
        <w:rPr>
          <w:rFonts w:asciiTheme="majorHAnsi" w:eastAsiaTheme="majorEastAsia" w:hAnsiTheme="majorHAnsi" w:cs="Arial"/>
          <w:b/>
          <w:bCs/>
          <w:sz w:val="24"/>
          <w:szCs w:val="24"/>
        </w:rPr>
        <w:t>MKiDN</w:t>
      </w:r>
      <w:proofErr w:type="spellEnd"/>
      <w:r w:rsidR="004169E0">
        <w:rPr>
          <w:rFonts w:asciiTheme="majorHAnsi" w:eastAsiaTheme="majorEastAsia" w:hAnsiTheme="majorHAnsi" w:cs="Arial"/>
          <w:b/>
          <w:bCs/>
          <w:sz w:val="24"/>
          <w:szCs w:val="24"/>
        </w:rPr>
        <w:t xml:space="preserve"> Marty Cienkowskiej</w:t>
      </w:r>
    </w:p>
    <w:p w14:paraId="215D34A5" w14:textId="77777777" w:rsidR="004169E0" w:rsidRDefault="004A0F7D" w:rsidP="003E5C1B">
      <w:pPr>
        <w:spacing w:line="360" w:lineRule="auto"/>
        <w:rPr>
          <w:rFonts w:eastAsia="Calibri" w:cs="Calibri"/>
        </w:rPr>
      </w:pPr>
      <w:r w:rsidRPr="004169E0">
        <w:rPr>
          <w:rFonts w:eastAsiaTheme="majorEastAsia" w:cs="Arial"/>
        </w:rPr>
        <w:t xml:space="preserve">29 maja 2026 r. zapadła decyzja Ministra Kultury i Dziedzictwa Narodowego Marty Cienkowskiej </w:t>
      </w:r>
      <w:r w:rsidRPr="004169E0">
        <w:rPr>
          <w:rFonts w:eastAsia="Calibri" w:cs="Calibri"/>
        </w:rPr>
        <w:t xml:space="preserve">w sprawie przyznania dofinansowania na realizację projektu „Żydowskie Dziedzictwo Kulturowe” w ramach Programu </w:t>
      </w:r>
      <w:r w:rsidR="004169E0">
        <w:rPr>
          <w:rFonts w:eastAsia="Calibri" w:cs="Calibri"/>
        </w:rPr>
        <w:t>„</w:t>
      </w:r>
      <w:r w:rsidRPr="004169E0">
        <w:rPr>
          <w:rFonts w:eastAsia="Calibri" w:cs="Calibri"/>
        </w:rPr>
        <w:t>Kultura</w:t>
      </w:r>
      <w:r w:rsidR="004169E0">
        <w:rPr>
          <w:rFonts w:eastAsia="Calibri" w:cs="Calibri"/>
        </w:rPr>
        <w:t>”</w:t>
      </w:r>
      <w:r w:rsidRPr="004169E0">
        <w:rPr>
          <w:rFonts w:eastAsia="Calibri" w:cs="Calibri"/>
        </w:rPr>
        <w:t xml:space="preserve"> na lata 2021–2028. </w:t>
      </w:r>
    </w:p>
    <w:p w14:paraId="1CC5BFF4" w14:textId="77777777" w:rsidR="004169E0" w:rsidRDefault="004169E0" w:rsidP="003E5C1B">
      <w:pPr>
        <w:spacing w:line="360" w:lineRule="auto"/>
        <w:rPr>
          <w:rFonts w:eastAsia="Calibri" w:cs="Calibri"/>
        </w:rPr>
      </w:pPr>
      <w:r w:rsidRPr="004169E0">
        <w:rPr>
          <w:rFonts w:eastAsia="Calibri" w:cs="Calibri"/>
        </w:rPr>
        <w:t xml:space="preserve">Jak zaznaczono w decyzji: </w:t>
      </w:r>
    </w:p>
    <w:p w14:paraId="3B6EA4B0" w14:textId="52AC9DDD" w:rsidR="004A0F7D" w:rsidRDefault="004169E0" w:rsidP="003E5C1B">
      <w:pPr>
        <w:spacing w:line="360" w:lineRule="auto"/>
        <w:rPr>
          <w:rFonts w:eastAsia="Calibri" w:cs="Calibri"/>
        </w:rPr>
      </w:pPr>
      <w:r w:rsidRPr="004169E0">
        <w:rPr>
          <w:rFonts w:eastAsia="Calibri" w:cs="Calibri"/>
        </w:rPr>
        <w:t>„</w:t>
      </w:r>
      <w:r>
        <w:rPr>
          <w:rFonts w:eastAsiaTheme="majorEastAsia" w:cs="Arial"/>
        </w:rPr>
        <w:t>W</w:t>
      </w:r>
      <w:r w:rsidRPr="004169E0">
        <w:rPr>
          <w:rFonts w:eastAsiaTheme="majorEastAsia" w:cs="Arial"/>
        </w:rPr>
        <w:t xml:space="preserve"> </w:t>
      </w:r>
      <w:r w:rsidR="004A0F7D" w:rsidRPr="004169E0">
        <w:rPr>
          <w:rFonts w:eastAsia="Calibri" w:cs="Calibri"/>
        </w:rPr>
        <w:t>związku z pozytywnie zakończoną oceną formalną i merytoryczną wniosku o dofinansowanie projektu w oparciu o obowiązujące kryteria podejmuję decyzję o przyznaniu dofinansowania</w:t>
      </w:r>
      <w:r w:rsidRPr="004169E0">
        <w:rPr>
          <w:rFonts w:eastAsiaTheme="majorEastAsia" w:cs="Arial"/>
        </w:rPr>
        <w:t xml:space="preserve"> </w:t>
      </w:r>
      <w:r w:rsidR="004A0F7D" w:rsidRPr="004169E0">
        <w:rPr>
          <w:rFonts w:eastAsia="Calibri" w:cs="Calibri"/>
        </w:rPr>
        <w:t xml:space="preserve">dla Muzeum Historii Żydów Polskich POLIN na realizację projektu predefiniowanego pn. </w:t>
      </w:r>
      <w:r>
        <w:rPr>
          <w:rFonts w:eastAsia="Calibri" w:cs="Calibri"/>
        </w:rPr>
        <w:t>,</w:t>
      </w:r>
      <w:r w:rsidR="004A0F7D" w:rsidRPr="004169E0">
        <w:rPr>
          <w:rFonts w:eastAsia="Calibri" w:cs="Calibri"/>
        </w:rPr>
        <w:t>Żydowskie Dziedzictwo Kulturowe</w:t>
      </w:r>
      <w:r>
        <w:rPr>
          <w:rFonts w:eastAsia="Calibri" w:cs="Calibri"/>
        </w:rPr>
        <w:t>’</w:t>
      </w:r>
      <w:r w:rsidR="004A0F7D" w:rsidRPr="004169E0">
        <w:rPr>
          <w:rFonts w:eastAsia="Calibri" w:cs="Calibri"/>
        </w:rPr>
        <w:t xml:space="preserve"> w wysokości 11 764 705,88 euro (10 000 000 euro z Norweskiego Mechanizmu Finansowego i 1 764 705,88 euro z budżetu państwa jako wkład własny do projektu strony polskiej), co wg kursu euro 4,2426 stanowi równowartość 49 912 941,16 PLN.</w:t>
      </w:r>
      <w:r w:rsidRPr="004169E0">
        <w:rPr>
          <w:rFonts w:eastAsiaTheme="majorEastAsia" w:cs="Arial"/>
        </w:rPr>
        <w:t xml:space="preserve"> </w:t>
      </w:r>
      <w:r w:rsidR="004A0F7D" w:rsidRPr="004169E0">
        <w:rPr>
          <w:rFonts w:eastAsia="Calibri" w:cs="Calibri"/>
        </w:rPr>
        <w:t>Tym samym rekomenduję projekt do podpisania umowy o dofinansowanie</w:t>
      </w:r>
      <w:r w:rsidRPr="004169E0">
        <w:rPr>
          <w:rFonts w:eastAsia="Calibri" w:cs="Calibri"/>
        </w:rPr>
        <w:t>”.</w:t>
      </w:r>
    </w:p>
    <w:p w14:paraId="0F3AC2A5" w14:textId="608A82AC" w:rsidR="004169E0" w:rsidRPr="001045FA" w:rsidRDefault="004169E0" w:rsidP="003E5C1B">
      <w:pPr>
        <w:spacing w:line="360" w:lineRule="auto"/>
        <w:rPr>
          <w:rFonts w:eastAsia="Calibri" w:cs="Calibri"/>
          <w:b/>
          <w:bCs/>
          <w:sz w:val="24"/>
          <w:szCs w:val="24"/>
        </w:rPr>
      </w:pPr>
      <w:r w:rsidRPr="001045FA">
        <w:rPr>
          <w:rFonts w:eastAsia="Calibri" w:cs="Calibri"/>
          <w:b/>
          <w:bCs/>
          <w:sz w:val="24"/>
          <w:szCs w:val="24"/>
        </w:rPr>
        <w:t xml:space="preserve">Briefing prasowy z udziałem </w:t>
      </w:r>
      <w:proofErr w:type="spellStart"/>
      <w:r w:rsidRPr="001045FA">
        <w:rPr>
          <w:rFonts w:eastAsia="Calibri" w:cs="Calibri"/>
          <w:b/>
          <w:bCs/>
          <w:sz w:val="24"/>
          <w:szCs w:val="24"/>
        </w:rPr>
        <w:t>MKiDN</w:t>
      </w:r>
      <w:proofErr w:type="spellEnd"/>
      <w:r w:rsidRPr="001045FA">
        <w:rPr>
          <w:rFonts w:eastAsia="Calibri" w:cs="Calibri"/>
          <w:b/>
          <w:bCs/>
          <w:sz w:val="24"/>
          <w:szCs w:val="24"/>
        </w:rPr>
        <w:t xml:space="preserve"> </w:t>
      </w:r>
      <w:r w:rsidR="0050235B">
        <w:rPr>
          <w:rFonts w:eastAsia="Calibri" w:cs="Calibri"/>
          <w:b/>
          <w:bCs/>
          <w:sz w:val="24"/>
          <w:szCs w:val="24"/>
        </w:rPr>
        <w:t>i Ambasady Królestwa Norwegii w Polsce</w:t>
      </w:r>
    </w:p>
    <w:p w14:paraId="25D1104E" w14:textId="606B5707" w:rsidR="003E5C1B" w:rsidRDefault="004169E0" w:rsidP="003E5C1B">
      <w:pPr>
        <w:spacing w:line="360" w:lineRule="auto"/>
        <w:rPr>
          <w:rFonts w:cstheme="minorHAnsi"/>
        </w:rPr>
      </w:pPr>
      <w:r w:rsidRPr="004169E0">
        <w:rPr>
          <w:rFonts w:cstheme="minorHAnsi"/>
        </w:rPr>
        <w:t>W środę</w:t>
      </w:r>
      <w:r>
        <w:rPr>
          <w:rFonts w:cstheme="minorHAnsi"/>
        </w:rPr>
        <w:t>,</w:t>
      </w:r>
      <w:r w:rsidRPr="004169E0">
        <w:rPr>
          <w:rFonts w:cstheme="minorHAnsi"/>
        </w:rPr>
        <w:t xml:space="preserve"> 3 czerwca</w:t>
      </w:r>
      <w:r>
        <w:rPr>
          <w:rFonts w:cstheme="minorHAnsi"/>
        </w:rPr>
        <w:t xml:space="preserve"> 2026 roku</w:t>
      </w:r>
      <w:r w:rsidRPr="004169E0">
        <w:rPr>
          <w:rFonts w:cstheme="minorHAnsi"/>
        </w:rPr>
        <w:t>, godz. 10</w:t>
      </w:r>
      <w:r>
        <w:rPr>
          <w:rFonts w:cstheme="minorHAnsi"/>
        </w:rPr>
        <w:t xml:space="preserve"> w </w:t>
      </w:r>
      <w:r w:rsidRPr="004169E0">
        <w:rPr>
          <w:rFonts w:cstheme="minorHAnsi"/>
        </w:rPr>
        <w:t>Galeri</w:t>
      </w:r>
      <w:r>
        <w:rPr>
          <w:rFonts w:cstheme="minorHAnsi"/>
        </w:rPr>
        <w:t>i</w:t>
      </w:r>
      <w:r w:rsidRPr="004169E0">
        <w:rPr>
          <w:rFonts w:cstheme="minorHAnsi"/>
        </w:rPr>
        <w:t xml:space="preserve"> Dziedzictwo</w:t>
      </w:r>
      <w:r>
        <w:rPr>
          <w:rFonts w:cstheme="minorHAnsi"/>
        </w:rPr>
        <w:t xml:space="preserve"> Muzeum POLIN </w:t>
      </w:r>
      <w:r w:rsidR="0050235B">
        <w:rPr>
          <w:rFonts w:cstheme="minorHAnsi"/>
        </w:rPr>
        <w:t>odbył się</w:t>
      </w:r>
      <w:r>
        <w:rPr>
          <w:rFonts w:cstheme="minorHAnsi"/>
        </w:rPr>
        <w:t xml:space="preserve"> briefing prasowy z udziałem m.in.: </w:t>
      </w:r>
      <w:proofErr w:type="spellStart"/>
      <w:r w:rsidRPr="004169E0">
        <w:rPr>
          <w:rFonts w:cstheme="minorHAnsi"/>
        </w:rPr>
        <w:t>Ministr</w:t>
      </w:r>
      <w:r w:rsidR="0050235B">
        <w:rPr>
          <w:rFonts w:cstheme="minorHAnsi"/>
        </w:rPr>
        <w:t>y</w:t>
      </w:r>
      <w:proofErr w:type="spellEnd"/>
      <w:r w:rsidRPr="004169E0">
        <w:rPr>
          <w:rFonts w:cstheme="minorHAnsi"/>
        </w:rPr>
        <w:t xml:space="preserve"> </w:t>
      </w:r>
      <w:proofErr w:type="spellStart"/>
      <w:r w:rsidRPr="004169E0">
        <w:rPr>
          <w:rFonts w:cstheme="minorHAnsi"/>
        </w:rPr>
        <w:t>MKiDN</w:t>
      </w:r>
      <w:proofErr w:type="spellEnd"/>
      <w:r w:rsidRPr="004169E0">
        <w:rPr>
          <w:rFonts w:cstheme="minorHAnsi"/>
        </w:rPr>
        <w:t xml:space="preserve"> Mart</w:t>
      </w:r>
      <w:r>
        <w:rPr>
          <w:rFonts w:cstheme="minorHAnsi"/>
        </w:rPr>
        <w:t>y</w:t>
      </w:r>
      <w:r w:rsidRPr="004169E0">
        <w:rPr>
          <w:rFonts w:cstheme="minorHAnsi"/>
        </w:rPr>
        <w:t xml:space="preserve"> Cienkowsk</w:t>
      </w:r>
      <w:r>
        <w:rPr>
          <w:rFonts w:cstheme="minorHAnsi"/>
        </w:rPr>
        <w:t>iej</w:t>
      </w:r>
      <w:r w:rsidRPr="004169E0">
        <w:rPr>
          <w:rFonts w:cstheme="minorHAnsi"/>
        </w:rPr>
        <w:t>, Ambasador</w:t>
      </w:r>
      <w:r>
        <w:rPr>
          <w:rFonts w:cstheme="minorHAnsi"/>
        </w:rPr>
        <w:t xml:space="preserve">a </w:t>
      </w:r>
      <w:r w:rsidRPr="004169E0">
        <w:rPr>
          <w:rFonts w:cstheme="minorHAnsi"/>
        </w:rPr>
        <w:t xml:space="preserve">Norwegii w Polsce </w:t>
      </w:r>
      <w:proofErr w:type="spellStart"/>
      <w:r w:rsidRPr="004169E0">
        <w:rPr>
          <w:rFonts w:cstheme="minorHAnsi"/>
        </w:rPr>
        <w:t>Øystein</w:t>
      </w:r>
      <w:r>
        <w:rPr>
          <w:rFonts w:cstheme="minorHAnsi"/>
        </w:rPr>
        <w:t>a</w:t>
      </w:r>
      <w:proofErr w:type="spellEnd"/>
      <w:r w:rsidRPr="004169E0">
        <w:rPr>
          <w:rFonts w:cstheme="minorHAnsi"/>
        </w:rPr>
        <w:t> </w:t>
      </w:r>
      <w:proofErr w:type="spellStart"/>
      <w:r w:rsidRPr="004169E0">
        <w:rPr>
          <w:rFonts w:cstheme="minorHAnsi"/>
        </w:rPr>
        <w:t>Bø</w:t>
      </w:r>
      <w:proofErr w:type="spellEnd"/>
      <w:r>
        <w:rPr>
          <w:rFonts w:cstheme="minorHAnsi"/>
        </w:rPr>
        <w:t xml:space="preserve"> oraz </w:t>
      </w:r>
      <w:r w:rsidRPr="004169E0">
        <w:rPr>
          <w:rFonts w:cstheme="minorHAnsi"/>
        </w:rPr>
        <w:t>Dyrektor</w:t>
      </w:r>
      <w:r>
        <w:rPr>
          <w:rFonts w:cstheme="minorHAnsi"/>
        </w:rPr>
        <w:t>a</w:t>
      </w:r>
      <w:r w:rsidRPr="004169E0">
        <w:rPr>
          <w:rFonts w:cstheme="minorHAnsi"/>
        </w:rPr>
        <w:t xml:space="preserve"> Muzeum POLIN Dariusz</w:t>
      </w:r>
      <w:r>
        <w:rPr>
          <w:rFonts w:cstheme="minorHAnsi"/>
        </w:rPr>
        <w:t xml:space="preserve">a </w:t>
      </w:r>
      <w:r w:rsidRPr="004169E0">
        <w:rPr>
          <w:rFonts w:cstheme="minorHAnsi"/>
        </w:rPr>
        <w:t>Stol</w:t>
      </w:r>
      <w:r>
        <w:rPr>
          <w:rFonts w:cstheme="minorHAnsi"/>
        </w:rPr>
        <w:t xml:space="preserve">i. Podczas briefingu przedstawiciele </w:t>
      </w:r>
      <w:r>
        <w:rPr>
          <w:rFonts w:cstheme="minorHAnsi"/>
        </w:rPr>
        <w:lastRenderedPageBreak/>
        <w:t xml:space="preserve">Muzeum POLIN </w:t>
      </w:r>
      <w:r w:rsidR="0050235B">
        <w:rPr>
          <w:rFonts w:cstheme="minorHAnsi"/>
        </w:rPr>
        <w:t>oraz instytucji partnerskich oficjalnie</w:t>
      </w:r>
      <w:r>
        <w:rPr>
          <w:rFonts w:cstheme="minorHAnsi"/>
        </w:rPr>
        <w:t xml:space="preserve"> poinformowali o ministerialnej </w:t>
      </w:r>
      <w:r w:rsidRPr="004169E0">
        <w:rPr>
          <w:rFonts w:cstheme="minorHAnsi"/>
        </w:rPr>
        <w:t xml:space="preserve">decyzji </w:t>
      </w:r>
      <w:r>
        <w:rPr>
          <w:rFonts w:cstheme="minorHAnsi"/>
        </w:rPr>
        <w:t>w sprawie</w:t>
      </w:r>
      <w:r w:rsidRPr="004169E0">
        <w:rPr>
          <w:rFonts w:cstheme="minorHAnsi"/>
        </w:rPr>
        <w:t xml:space="preserve"> dofinansowani</w:t>
      </w:r>
      <w:r>
        <w:rPr>
          <w:rFonts w:cstheme="minorHAnsi"/>
        </w:rPr>
        <w:t>a projektu „Żydowskie Dziedzictwo Kulturowe”.</w:t>
      </w:r>
    </w:p>
    <w:p w14:paraId="3A376440" w14:textId="3C805B11" w:rsidR="002A46CE" w:rsidRPr="004169E0" w:rsidRDefault="00C81FE5" w:rsidP="003E5C1B">
      <w:pPr>
        <w:spacing w:line="360" w:lineRule="auto"/>
        <w:rPr>
          <w:rFonts w:asciiTheme="majorHAnsi" w:hAnsiTheme="majorHAnsi" w:cs="Arial"/>
        </w:rPr>
      </w:pPr>
      <w:r w:rsidRPr="004169E0">
        <w:rPr>
          <w:rFonts w:asciiTheme="majorHAnsi" w:hAnsiTheme="majorHAnsi" w:cs="Arial"/>
          <w:b/>
          <w:bCs/>
        </w:rPr>
        <w:t>Materiały dla mediów:</w:t>
      </w:r>
      <w:r w:rsidR="000600A4" w:rsidRPr="004169E0">
        <w:rPr>
          <w:rFonts w:asciiTheme="majorHAnsi" w:hAnsiTheme="majorHAnsi" w:cs="Arial"/>
          <w:b/>
          <w:bCs/>
        </w:rPr>
        <w:t xml:space="preserve"> </w:t>
      </w:r>
      <w:hyperlink r:id="rId9" w:history="1">
        <w:r w:rsidR="000600A4" w:rsidRPr="004169E0">
          <w:rPr>
            <w:rStyle w:val="Hipercze"/>
            <w:rFonts w:asciiTheme="majorHAnsi" w:hAnsiTheme="majorHAnsi" w:cs="Arial"/>
          </w:rPr>
          <w:t>Dla mediów | Muzeum Historii Żydów Polskich POLIN w Warszawie</w:t>
        </w:r>
      </w:hyperlink>
      <w:r w:rsidR="000600A4" w:rsidRPr="004169E0">
        <w:rPr>
          <w:rFonts w:asciiTheme="majorHAnsi" w:eastAsiaTheme="minorEastAsia" w:hAnsiTheme="majorHAnsi" w:cs="Arial"/>
          <w:b/>
          <w:bCs/>
        </w:rPr>
        <w:br/>
      </w:r>
      <w:r w:rsidR="00200202" w:rsidRPr="004169E0">
        <w:rPr>
          <w:rFonts w:asciiTheme="majorHAnsi" w:eastAsiaTheme="minorEastAsia" w:hAnsiTheme="majorHAnsi" w:cs="Arial"/>
          <w:b/>
          <w:bCs/>
        </w:rPr>
        <w:br/>
      </w:r>
      <w:r w:rsidR="002A46CE" w:rsidRPr="004169E0">
        <w:rPr>
          <w:rFonts w:asciiTheme="majorHAnsi" w:eastAsiaTheme="minorEastAsia" w:hAnsiTheme="majorHAnsi" w:cs="Arial"/>
          <w:b/>
          <w:bCs/>
        </w:rPr>
        <w:t xml:space="preserve">Biuro </w:t>
      </w:r>
      <w:r w:rsidR="000600A4" w:rsidRPr="004169E0">
        <w:rPr>
          <w:rFonts w:asciiTheme="majorHAnsi" w:eastAsiaTheme="minorEastAsia" w:hAnsiTheme="majorHAnsi" w:cs="Arial"/>
          <w:b/>
          <w:bCs/>
        </w:rPr>
        <w:t>p</w:t>
      </w:r>
      <w:r w:rsidR="002A46CE" w:rsidRPr="004169E0">
        <w:rPr>
          <w:rFonts w:asciiTheme="majorHAnsi" w:eastAsiaTheme="minorEastAsia" w:hAnsiTheme="majorHAnsi" w:cs="Arial"/>
          <w:b/>
          <w:bCs/>
        </w:rPr>
        <w:t>rasowe Muzeum POLIN:</w:t>
      </w:r>
      <w:r w:rsidR="00B36BCF" w:rsidRPr="004169E0">
        <w:rPr>
          <w:rFonts w:asciiTheme="majorHAnsi" w:hAnsiTheme="majorHAnsi" w:cs="Arial"/>
          <w:b/>
          <w:bCs/>
        </w:rPr>
        <w:t xml:space="preserve"> </w:t>
      </w:r>
      <w:hyperlink r:id="rId10">
        <w:r w:rsidR="002A46CE" w:rsidRPr="004169E0">
          <w:rPr>
            <w:rStyle w:val="Hipercze"/>
            <w:rFonts w:asciiTheme="majorHAnsi" w:eastAsiaTheme="minorEastAsia" w:hAnsiTheme="majorHAnsi" w:cs="Arial"/>
          </w:rPr>
          <w:t>biuroprasowe@polin.pl</w:t>
        </w:r>
      </w:hyperlink>
    </w:p>
    <w:p w14:paraId="492E7995" w14:textId="28768374" w:rsidR="002A46CE" w:rsidRPr="004169E0" w:rsidRDefault="000600A4" w:rsidP="003E5C1B">
      <w:pPr>
        <w:spacing w:line="360" w:lineRule="auto"/>
        <w:rPr>
          <w:rFonts w:asciiTheme="majorHAnsi" w:eastAsiaTheme="minorEastAsia" w:hAnsiTheme="majorHAnsi" w:cs="Arial"/>
        </w:rPr>
      </w:pPr>
      <w:r w:rsidRPr="004169E0">
        <w:rPr>
          <w:rFonts w:asciiTheme="majorHAnsi" w:eastAsiaTheme="minorEastAsia" w:hAnsiTheme="majorHAnsi" w:cs="Arial"/>
        </w:rPr>
        <w:t>k</w:t>
      </w:r>
      <w:r w:rsidR="002A46CE" w:rsidRPr="004169E0">
        <w:rPr>
          <w:rFonts w:asciiTheme="majorHAnsi" w:eastAsiaTheme="minorEastAsia" w:hAnsiTheme="majorHAnsi" w:cs="Arial"/>
        </w:rPr>
        <w:t>ontakt dla mediów:</w:t>
      </w:r>
    </w:p>
    <w:p w14:paraId="68AAE88A" w14:textId="4F082263" w:rsidR="00E45C7B" w:rsidRPr="004169E0" w:rsidRDefault="00E45C7B" w:rsidP="003E5C1B">
      <w:pPr>
        <w:spacing w:line="360" w:lineRule="auto"/>
        <w:rPr>
          <w:rFonts w:asciiTheme="majorHAnsi" w:eastAsiaTheme="minorEastAsia" w:hAnsiTheme="majorHAnsi" w:cs="Arial"/>
          <w:b/>
          <w:bCs/>
        </w:rPr>
      </w:pPr>
      <w:r w:rsidRPr="004169E0">
        <w:rPr>
          <w:rFonts w:asciiTheme="majorHAnsi" w:eastAsiaTheme="minorEastAsia" w:hAnsiTheme="majorHAnsi" w:cs="Arial"/>
          <w:b/>
          <w:bCs/>
        </w:rPr>
        <w:t>Olga Kaliszewska</w:t>
      </w:r>
    </w:p>
    <w:p w14:paraId="623A42EF" w14:textId="47DF655A" w:rsidR="00E45C7B" w:rsidRPr="004169E0" w:rsidRDefault="00E45C7B" w:rsidP="003E5C1B">
      <w:pPr>
        <w:spacing w:line="360" w:lineRule="auto"/>
        <w:rPr>
          <w:rFonts w:asciiTheme="majorHAnsi" w:eastAsia="Aptos" w:hAnsiTheme="majorHAnsi" w:cs="Arial"/>
          <w:color w:val="000000" w:themeColor="text1"/>
        </w:rPr>
      </w:pPr>
      <w:r w:rsidRPr="004169E0">
        <w:rPr>
          <w:rFonts w:asciiTheme="majorHAnsi" w:eastAsia="Aptos" w:hAnsiTheme="majorHAnsi" w:cs="Arial"/>
          <w:color w:val="000000" w:themeColor="text1"/>
        </w:rPr>
        <w:t>Główna Specjalistka ds. Współpracy z Mediami</w:t>
      </w:r>
    </w:p>
    <w:p w14:paraId="7026AF13" w14:textId="66C92B2A" w:rsidR="00E45C7B" w:rsidRPr="004169E0" w:rsidRDefault="00E45C7B" w:rsidP="003E5C1B">
      <w:pPr>
        <w:spacing w:line="360" w:lineRule="auto"/>
        <w:rPr>
          <w:rFonts w:asciiTheme="majorHAnsi" w:eastAsia="Aptos" w:hAnsiTheme="majorHAnsi" w:cs="Arial"/>
          <w:color w:val="000000" w:themeColor="text1"/>
        </w:rPr>
      </w:pPr>
      <w:r w:rsidRPr="004169E0">
        <w:rPr>
          <w:rFonts w:asciiTheme="majorHAnsi" w:eastAsia="Aptos" w:hAnsiTheme="majorHAnsi" w:cs="Arial"/>
          <w:color w:val="000000" w:themeColor="text1"/>
        </w:rPr>
        <w:t>Tel. +22 47 10 398 | Kom.</w:t>
      </w:r>
      <w:r w:rsidR="00DE5D38" w:rsidRPr="004169E0">
        <w:rPr>
          <w:rFonts w:asciiTheme="majorHAnsi" w:hAnsiTheme="majorHAnsi" w:cs="Calibri"/>
          <w:color w:val="000000"/>
        </w:rPr>
        <w:t xml:space="preserve"> +48 535 050 204 </w:t>
      </w:r>
      <w:r w:rsidRPr="004169E0">
        <w:rPr>
          <w:rFonts w:asciiTheme="majorHAnsi" w:eastAsia="Aptos" w:hAnsiTheme="majorHAnsi" w:cs="Arial"/>
          <w:color w:val="000000" w:themeColor="text1"/>
        </w:rPr>
        <w:t xml:space="preserve"> </w:t>
      </w:r>
    </w:p>
    <w:p w14:paraId="5FC12DAE" w14:textId="5BC78AC6" w:rsidR="00200202" w:rsidRPr="004169E0" w:rsidRDefault="00E45C7B" w:rsidP="003E5C1B">
      <w:pPr>
        <w:spacing w:line="360" w:lineRule="auto"/>
        <w:rPr>
          <w:rFonts w:asciiTheme="majorHAnsi" w:hAnsiTheme="majorHAnsi"/>
        </w:rPr>
      </w:pPr>
      <w:hyperlink r:id="rId11" w:history="1">
        <w:r w:rsidRPr="004169E0">
          <w:rPr>
            <w:rStyle w:val="Hipercze"/>
            <w:rFonts w:asciiTheme="majorHAnsi" w:eastAsia="Aptos" w:hAnsiTheme="majorHAnsi" w:cs="Arial"/>
          </w:rPr>
          <w:t>okaliszewska@polin.pl</w:t>
        </w:r>
      </w:hyperlink>
      <w:r w:rsidR="00200202" w:rsidRPr="004169E0">
        <w:rPr>
          <w:rFonts w:asciiTheme="majorHAnsi" w:hAnsiTheme="majorHAnsi"/>
        </w:rPr>
        <w:br/>
      </w:r>
    </w:p>
    <w:p w14:paraId="5A66DBC7" w14:textId="2AB0E801" w:rsidR="00BB722B" w:rsidRPr="004169E0" w:rsidRDefault="00BB722B" w:rsidP="003E5C1B">
      <w:pPr>
        <w:spacing w:line="360" w:lineRule="auto"/>
        <w:rPr>
          <w:rFonts w:asciiTheme="majorHAnsi" w:eastAsia="Aptos" w:hAnsiTheme="majorHAnsi" w:cs="Arial"/>
          <w:color w:val="000000" w:themeColor="text1"/>
        </w:rPr>
      </w:pPr>
      <w:r w:rsidRPr="004169E0">
        <w:rPr>
          <w:rFonts w:asciiTheme="majorHAnsi" w:eastAsia="Aptos" w:hAnsiTheme="majorHAnsi" w:cs="Arial"/>
          <w:b/>
          <w:bCs/>
          <w:color w:val="000000" w:themeColor="text1"/>
        </w:rPr>
        <w:t>Nina Nowakowska</w:t>
      </w:r>
    </w:p>
    <w:p w14:paraId="370A44CC" w14:textId="77777777" w:rsidR="00BB722B" w:rsidRPr="004169E0" w:rsidRDefault="00BB722B" w:rsidP="003E5C1B">
      <w:pPr>
        <w:spacing w:line="360" w:lineRule="auto"/>
        <w:rPr>
          <w:rFonts w:asciiTheme="majorHAnsi" w:eastAsia="Aptos" w:hAnsiTheme="majorHAnsi" w:cs="Arial"/>
          <w:color w:val="000000" w:themeColor="text1"/>
        </w:rPr>
      </w:pPr>
      <w:r w:rsidRPr="004169E0">
        <w:rPr>
          <w:rFonts w:asciiTheme="majorHAnsi" w:eastAsia="Aptos" w:hAnsiTheme="majorHAnsi" w:cs="Arial"/>
          <w:color w:val="000000" w:themeColor="text1"/>
        </w:rPr>
        <w:t>Starsza Specjalistka ds. Współpracy z Mediami</w:t>
      </w:r>
    </w:p>
    <w:p w14:paraId="745E7076" w14:textId="77777777" w:rsidR="00BB722B" w:rsidRPr="004169E0" w:rsidRDefault="00BB722B" w:rsidP="003E5C1B">
      <w:pPr>
        <w:spacing w:line="360" w:lineRule="auto"/>
        <w:rPr>
          <w:rFonts w:asciiTheme="majorHAnsi" w:eastAsia="Aptos" w:hAnsiTheme="majorHAnsi" w:cs="Arial"/>
          <w:color w:val="000000" w:themeColor="text1"/>
        </w:rPr>
      </w:pPr>
      <w:r w:rsidRPr="004169E0">
        <w:rPr>
          <w:rFonts w:asciiTheme="majorHAnsi" w:eastAsia="Aptos" w:hAnsiTheme="majorHAnsi" w:cs="Arial"/>
          <w:color w:val="000000" w:themeColor="text1"/>
        </w:rPr>
        <w:t xml:space="preserve">Tel. +22 47 10 398 | Kom. +48 502 765 477 </w:t>
      </w:r>
    </w:p>
    <w:p w14:paraId="4C21F546" w14:textId="755B3B12" w:rsidR="004169E0" w:rsidRDefault="00BB722B" w:rsidP="003E5C1B">
      <w:pPr>
        <w:spacing w:line="360" w:lineRule="auto"/>
      </w:pPr>
      <w:hyperlink r:id="rId12" w:history="1">
        <w:r w:rsidRPr="004169E0">
          <w:rPr>
            <w:rStyle w:val="Hipercze"/>
            <w:rFonts w:asciiTheme="majorHAnsi" w:eastAsia="Aptos" w:hAnsiTheme="majorHAnsi" w:cs="Arial"/>
          </w:rPr>
          <w:t>nnowakowska@polin.pl</w:t>
        </w:r>
      </w:hyperlink>
    </w:p>
    <w:p w14:paraId="02BA065D" w14:textId="77777777" w:rsidR="003E5C1B" w:rsidRDefault="003E5C1B" w:rsidP="003E5C1B">
      <w:pPr>
        <w:spacing w:line="360" w:lineRule="auto"/>
      </w:pPr>
    </w:p>
    <w:p w14:paraId="5C19AD06" w14:textId="77777777" w:rsidR="003E5C1B" w:rsidRDefault="003E5C1B" w:rsidP="003E5C1B">
      <w:pPr>
        <w:spacing w:line="360" w:lineRule="auto"/>
      </w:pPr>
    </w:p>
    <w:p w14:paraId="50F56BEB" w14:textId="77777777" w:rsidR="003E5C1B" w:rsidRDefault="003E5C1B" w:rsidP="003E5C1B">
      <w:pPr>
        <w:spacing w:line="360" w:lineRule="auto"/>
      </w:pPr>
    </w:p>
    <w:p w14:paraId="7B4AFDF6" w14:textId="77777777" w:rsidR="003E5C1B" w:rsidRDefault="003E5C1B" w:rsidP="003E5C1B">
      <w:pPr>
        <w:spacing w:line="360" w:lineRule="auto"/>
      </w:pPr>
    </w:p>
    <w:p w14:paraId="36A0F82F" w14:textId="77777777" w:rsidR="003E5C1B" w:rsidRDefault="003E5C1B" w:rsidP="003E5C1B">
      <w:pPr>
        <w:spacing w:line="360" w:lineRule="auto"/>
      </w:pPr>
    </w:p>
    <w:p w14:paraId="15FA3CEE" w14:textId="77777777" w:rsidR="001045FA" w:rsidRPr="004169E0" w:rsidRDefault="001045FA" w:rsidP="003E5C1B">
      <w:pPr>
        <w:spacing w:line="360" w:lineRule="auto"/>
        <w:rPr>
          <w:rFonts w:asciiTheme="majorHAnsi" w:hAnsiTheme="majorHAnsi"/>
        </w:rPr>
      </w:pPr>
    </w:p>
    <w:p w14:paraId="1013FD91" w14:textId="5B18A8D4" w:rsidR="004169E0" w:rsidRDefault="004169E0" w:rsidP="003E5C1B">
      <w:pPr>
        <w:spacing w:line="360" w:lineRule="auto"/>
        <w:rPr>
          <w:rFonts w:asciiTheme="majorHAnsi" w:eastAsia="Aptos" w:hAnsiTheme="majorHAnsi" w:cs="Arial"/>
          <w:b/>
          <w:bCs/>
          <w:color w:val="000000" w:themeColor="text1"/>
          <w:sz w:val="24"/>
          <w:szCs w:val="24"/>
        </w:rPr>
      </w:pPr>
      <w:r w:rsidRPr="004169E0">
        <w:rPr>
          <w:rFonts w:asciiTheme="majorHAnsi" w:eastAsia="Aptos" w:hAnsiTheme="majorHAnsi" w:cs="Arial"/>
          <w:b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C11A7C1" wp14:editId="78E164A0">
            <wp:extent cx="5760720" cy="1775460"/>
            <wp:effectExtent l="0" t="0" r="0" b="0"/>
            <wp:docPr id="14815193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1930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C8D85" w14:textId="1598D2D7" w:rsidR="004169E0" w:rsidRPr="004F68D2" w:rsidRDefault="004169E0" w:rsidP="003E5C1B">
      <w:pPr>
        <w:spacing w:line="360" w:lineRule="auto"/>
        <w:rPr>
          <w:rFonts w:asciiTheme="majorHAnsi" w:eastAsia="Aptos" w:hAnsiTheme="majorHAnsi" w:cs="Arial"/>
          <w:b/>
          <w:bCs/>
          <w:color w:val="000000" w:themeColor="text1"/>
          <w:sz w:val="24"/>
          <w:szCs w:val="24"/>
        </w:rPr>
      </w:pPr>
      <w:r w:rsidRPr="004169E0">
        <w:rPr>
          <w:rFonts w:asciiTheme="majorHAnsi" w:eastAsia="Aptos" w:hAnsiTheme="majorHAnsi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22DD4B8A" wp14:editId="313D0084">
            <wp:extent cx="6492240" cy="3902357"/>
            <wp:effectExtent l="0" t="0" r="3810" b="3175"/>
            <wp:docPr id="9717781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7816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30810" cy="392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D2CCC" w14:textId="77777777" w:rsidR="00BB722B" w:rsidRPr="00E54FB0" w:rsidRDefault="00BB722B" w:rsidP="003E5C1B">
      <w:pPr>
        <w:spacing w:line="360" w:lineRule="auto"/>
        <w:rPr>
          <w:rFonts w:asciiTheme="majorHAnsi" w:eastAsia="Aptos" w:hAnsiTheme="majorHAnsi" w:cs="Arial"/>
          <w:color w:val="000000" w:themeColor="text1"/>
          <w:sz w:val="24"/>
          <w:szCs w:val="24"/>
        </w:rPr>
      </w:pPr>
    </w:p>
    <w:p w14:paraId="3EEB5D20" w14:textId="77777777" w:rsidR="005B71DC" w:rsidRPr="00E54FB0" w:rsidRDefault="005B71DC" w:rsidP="003E5C1B">
      <w:pPr>
        <w:spacing w:line="360" w:lineRule="auto"/>
        <w:rPr>
          <w:rFonts w:asciiTheme="majorHAnsi" w:eastAsia="Aptos" w:hAnsiTheme="majorHAnsi" w:cs="Arial"/>
          <w:color w:val="000000" w:themeColor="text1"/>
          <w:sz w:val="24"/>
          <w:szCs w:val="24"/>
        </w:rPr>
      </w:pPr>
    </w:p>
    <w:p w14:paraId="666063AC" w14:textId="77777777" w:rsidR="005B71DC" w:rsidRPr="00E54FB0" w:rsidRDefault="005B71DC" w:rsidP="003E5C1B">
      <w:pPr>
        <w:spacing w:line="360" w:lineRule="auto"/>
        <w:rPr>
          <w:rFonts w:asciiTheme="majorHAnsi" w:eastAsia="Aptos" w:hAnsiTheme="majorHAnsi" w:cs="Arial"/>
          <w:color w:val="000000" w:themeColor="text1"/>
          <w:sz w:val="24"/>
          <w:szCs w:val="24"/>
        </w:rPr>
      </w:pPr>
    </w:p>
    <w:p w14:paraId="31F50FFA" w14:textId="77777777" w:rsidR="00B44AB8" w:rsidRPr="00E54FB0" w:rsidRDefault="00B44AB8" w:rsidP="003E5C1B">
      <w:pPr>
        <w:spacing w:line="360" w:lineRule="auto"/>
        <w:rPr>
          <w:rFonts w:asciiTheme="majorHAnsi" w:hAnsiTheme="majorHAnsi" w:cs="Arial"/>
          <w:sz w:val="24"/>
          <w:szCs w:val="24"/>
        </w:rPr>
      </w:pPr>
    </w:p>
    <w:sectPr w:rsidR="00B44AB8" w:rsidRPr="00E54FB0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E20C" w14:textId="77777777" w:rsidR="00A605ED" w:rsidRDefault="00A605ED" w:rsidP="007F4097">
      <w:pPr>
        <w:spacing w:after="0" w:line="240" w:lineRule="auto"/>
      </w:pPr>
      <w:r>
        <w:separator/>
      </w:r>
    </w:p>
  </w:endnote>
  <w:endnote w:type="continuationSeparator" w:id="0">
    <w:p w14:paraId="07D5B0B8" w14:textId="77777777" w:rsidR="00A605ED" w:rsidRDefault="00A605ED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8195" w14:textId="77777777" w:rsidR="00A605ED" w:rsidRDefault="00A605ED" w:rsidP="007F4097">
      <w:pPr>
        <w:spacing w:after="0" w:line="240" w:lineRule="auto"/>
      </w:pPr>
      <w:r>
        <w:separator/>
      </w:r>
    </w:p>
  </w:footnote>
  <w:footnote w:type="continuationSeparator" w:id="0">
    <w:p w14:paraId="426C45C9" w14:textId="77777777" w:rsidR="00A605ED" w:rsidRDefault="00A605ED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FC259E"/>
    <w:lvl w:ilvl="0">
      <w:numFmt w:val="bullet"/>
      <w:lvlText w:val="*"/>
      <w:lvlJc w:val="left"/>
    </w:lvl>
  </w:abstractNum>
  <w:abstractNum w:abstractNumId="1" w15:restartNumberingAfterBreak="0">
    <w:nsid w:val="00167180"/>
    <w:multiLevelType w:val="multilevel"/>
    <w:tmpl w:val="1A06CB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E4506"/>
    <w:multiLevelType w:val="multilevel"/>
    <w:tmpl w:val="729AE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F1CD4"/>
    <w:multiLevelType w:val="hybridMultilevel"/>
    <w:tmpl w:val="AC1AD64A"/>
    <w:lvl w:ilvl="0" w:tplc="A9300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21EB4"/>
    <w:multiLevelType w:val="hybridMultilevel"/>
    <w:tmpl w:val="ED824E60"/>
    <w:lvl w:ilvl="0" w:tplc="0E68EBDC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F00B1"/>
    <w:multiLevelType w:val="multilevel"/>
    <w:tmpl w:val="76AC1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35251"/>
    <w:multiLevelType w:val="multilevel"/>
    <w:tmpl w:val="6286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752C1"/>
    <w:multiLevelType w:val="multilevel"/>
    <w:tmpl w:val="F6F0E3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758A4"/>
    <w:multiLevelType w:val="multilevel"/>
    <w:tmpl w:val="CC0A3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10607"/>
    <w:multiLevelType w:val="hybridMultilevel"/>
    <w:tmpl w:val="97B68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2491E"/>
    <w:multiLevelType w:val="multilevel"/>
    <w:tmpl w:val="7B12FB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B5B3B"/>
    <w:multiLevelType w:val="multilevel"/>
    <w:tmpl w:val="588691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E86E7B"/>
    <w:multiLevelType w:val="multilevel"/>
    <w:tmpl w:val="88BCF3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14913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065723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540625767">
    <w:abstractNumId w:val="5"/>
  </w:num>
  <w:num w:numId="8" w16cid:durableId="861894675">
    <w:abstractNumId w:val="14"/>
  </w:num>
  <w:num w:numId="9" w16cid:durableId="1089540389">
    <w:abstractNumId w:val="7"/>
  </w:num>
  <w:num w:numId="10" w16cid:durableId="1139999248">
    <w:abstractNumId w:val="10"/>
  </w:num>
  <w:num w:numId="11" w16cid:durableId="1664627908">
    <w:abstractNumId w:val="9"/>
  </w:num>
  <w:num w:numId="12" w16cid:durableId="1301501153">
    <w:abstractNumId w:val="13"/>
  </w:num>
  <w:num w:numId="13" w16cid:durableId="1400707723">
    <w:abstractNumId w:val="1"/>
  </w:num>
  <w:num w:numId="14" w16cid:durableId="68819805">
    <w:abstractNumId w:val="12"/>
  </w:num>
  <w:num w:numId="15" w16cid:durableId="1307391786">
    <w:abstractNumId w:val="6"/>
  </w:num>
  <w:num w:numId="16" w16cid:durableId="5837109">
    <w:abstractNumId w:val="8"/>
  </w:num>
  <w:num w:numId="17" w16cid:durableId="794835605">
    <w:abstractNumId w:val="4"/>
  </w:num>
  <w:num w:numId="18" w16cid:durableId="6383874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1219E"/>
    <w:rsid w:val="000415A4"/>
    <w:rsid w:val="00042EAE"/>
    <w:rsid w:val="000600A4"/>
    <w:rsid w:val="00076EAD"/>
    <w:rsid w:val="000809DA"/>
    <w:rsid w:val="00080A53"/>
    <w:rsid w:val="0008388B"/>
    <w:rsid w:val="000A0CE6"/>
    <w:rsid w:val="000B2E17"/>
    <w:rsid w:val="000B41F1"/>
    <w:rsid w:val="000B5B2A"/>
    <w:rsid w:val="000B7AD6"/>
    <w:rsid w:val="000F6EA7"/>
    <w:rsid w:val="00103914"/>
    <w:rsid w:val="001045FA"/>
    <w:rsid w:val="001047B6"/>
    <w:rsid w:val="001370D1"/>
    <w:rsid w:val="001438D1"/>
    <w:rsid w:val="0015141B"/>
    <w:rsid w:val="00151F04"/>
    <w:rsid w:val="00176EAC"/>
    <w:rsid w:val="00181DE2"/>
    <w:rsid w:val="00182B57"/>
    <w:rsid w:val="00197A9A"/>
    <w:rsid w:val="001A3F38"/>
    <w:rsid w:val="001A6A2E"/>
    <w:rsid w:val="001B2AF0"/>
    <w:rsid w:val="001B31B3"/>
    <w:rsid w:val="001B5F59"/>
    <w:rsid w:val="001C5A95"/>
    <w:rsid w:val="001D2DD8"/>
    <w:rsid w:val="001D3BC2"/>
    <w:rsid w:val="00200202"/>
    <w:rsid w:val="002005A2"/>
    <w:rsid w:val="002061A1"/>
    <w:rsid w:val="00206329"/>
    <w:rsid w:val="002242E3"/>
    <w:rsid w:val="0023297D"/>
    <w:rsid w:val="00235F38"/>
    <w:rsid w:val="0028622F"/>
    <w:rsid w:val="00293327"/>
    <w:rsid w:val="002A46CE"/>
    <w:rsid w:val="002A5E37"/>
    <w:rsid w:val="002B3BFC"/>
    <w:rsid w:val="002C2981"/>
    <w:rsid w:val="002C3A8B"/>
    <w:rsid w:val="002D2DB7"/>
    <w:rsid w:val="002E252D"/>
    <w:rsid w:val="002F4127"/>
    <w:rsid w:val="002F712A"/>
    <w:rsid w:val="00300B7E"/>
    <w:rsid w:val="003102C5"/>
    <w:rsid w:val="00320F83"/>
    <w:rsid w:val="00324EF4"/>
    <w:rsid w:val="00330906"/>
    <w:rsid w:val="00343A74"/>
    <w:rsid w:val="00346924"/>
    <w:rsid w:val="0035679E"/>
    <w:rsid w:val="00362434"/>
    <w:rsid w:val="00390438"/>
    <w:rsid w:val="00392FF9"/>
    <w:rsid w:val="00395874"/>
    <w:rsid w:val="003E0875"/>
    <w:rsid w:val="003E494E"/>
    <w:rsid w:val="003E5C1B"/>
    <w:rsid w:val="003F2937"/>
    <w:rsid w:val="00401598"/>
    <w:rsid w:val="004169E0"/>
    <w:rsid w:val="00433426"/>
    <w:rsid w:val="00434FBB"/>
    <w:rsid w:val="0045351D"/>
    <w:rsid w:val="00461F07"/>
    <w:rsid w:val="00472744"/>
    <w:rsid w:val="00482BC0"/>
    <w:rsid w:val="004878AE"/>
    <w:rsid w:val="004A0F7D"/>
    <w:rsid w:val="004A3A81"/>
    <w:rsid w:val="004C214A"/>
    <w:rsid w:val="004D6829"/>
    <w:rsid w:val="004F68D2"/>
    <w:rsid w:val="004F692B"/>
    <w:rsid w:val="0050235B"/>
    <w:rsid w:val="00517319"/>
    <w:rsid w:val="00520DD4"/>
    <w:rsid w:val="00551C2F"/>
    <w:rsid w:val="00553000"/>
    <w:rsid w:val="00556FED"/>
    <w:rsid w:val="005618CA"/>
    <w:rsid w:val="005678E4"/>
    <w:rsid w:val="00591C55"/>
    <w:rsid w:val="005A0832"/>
    <w:rsid w:val="005B1F43"/>
    <w:rsid w:val="005B71DC"/>
    <w:rsid w:val="005C15CF"/>
    <w:rsid w:val="005D59EE"/>
    <w:rsid w:val="005E79EA"/>
    <w:rsid w:val="005E7D3E"/>
    <w:rsid w:val="00601EFE"/>
    <w:rsid w:val="00603847"/>
    <w:rsid w:val="00617B5A"/>
    <w:rsid w:val="00622A04"/>
    <w:rsid w:val="00623554"/>
    <w:rsid w:val="0062497C"/>
    <w:rsid w:val="00625E5E"/>
    <w:rsid w:val="00627279"/>
    <w:rsid w:val="00632527"/>
    <w:rsid w:val="006504E5"/>
    <w:rsid w:val="00657E5B"/>
    <w:rsid w:val="0068503E"/>
    <w:rsid w:val="00686531"/>
    <w:rsid w:val="006A5E84"/>
    <w:rsid w:val="006A7791"/>
    <w:rsid w:val="006C187C"/>
    <w:rsid w:val="006D2EFA"/>
    <w:rsid w:val="006E5356"/>
    <w:rsid w:val="006F4B9F"/>
    <w:rsid w:val="00705852"/>
    <w:rsid w:val="00711FEC"/>
    <w:rsid w:val="00725504"/>
    <w:rsid w:val="00731417"/>
    <w:rsid w:val="007356AD"/>
    <w:rsid w:val="00742FB0"/>
    <w:rsid w:val="00743810"/>
    <w:rsid w:val="00744641"/>
    <w:rsid w:val="00761E29"/>
    <w:rsid w:val="007725B2"/>
    <w:rsid w:val="00791036"/>
    <w:rsid w:val="00791FB5"/>
    <w:rsid w:val="00797E61"/>
    <w:rsid w:val="007A6EF2"/>
    <w:rsid w:val="007B036B"/>
    <w:rsid w:val="007B312B"/>
    <w:rsid w:val="007C4C0C"/>
    <w:rsid w:val="007C4D59"/>
    <w:rsid w:val="007F4097"/>
    <w:rsid w:val="008008F9"/>
    <w:rsid w:val="00800F81"/>
    <w:rsid w:val="008137B3"/>
    <w:rsid w:val="00813DF7"/>
    <w:rsid w:val="00814B7A"/>
    <w:rsid w:val="00814EFB"/>
    <w:rsid w:val="00821D41"/>
    <w:rsid w:val="00822EDD"/>
    <w:rsid w:val="00836024"/>
    <w:rsid w:val="00846E01"/>
    <w:rsid w:val="00846EF7"/>
    <w:rsid w:val="00851C3A"/>
    <w:rsid w:val="00853536"/>
    <w:rsid w:val="00856FC8"/>
    <w:rsid w:val="008721AB"/>
    <w:rsid w:val="008928F1"/>
    <w:rsid w:val="00897349"/>
    <w:rsid w:val="008A5F94"/>
    <w:rsid w:val="008A7EB9"/>
    <w:rsid w:val="008B0EEC"/>
    <w:rsid w:val="008B15BD"/>
    <w:rsid w:val="008B1F7E"/>
    <w:rsid w:val="008B28D8"/>
    <w:rsid w:val="008C0026"/>
    <w:rsid w:val="008E33E3"/>
    <w:rsid w:val="008E3A93"/>
    <w:rsid w:val="008F0C79"/>
    <w:rsid w:val="00906E81"/>
    <w:rsid w:val="00914BA5"/>
    <w:rsid w:val="009154B5"/>
    <w:rsid w:val="00924E52"/>
    <w:rsid w:val="00934274"/>
    <w:rsid w:val="009413CB"/>
    <w:rsid w:val="0095354D"/>
    <w:rsid w:val="0096583F"/>
    <w:rsid w:val="00967DB4"/>
    <w:rsid w:val="0099625E"/>
    <w:rsid w:val="009A31FD"/>
    <w:rsid w:val="009B09DC"/>
    <w:rsid w:val="009B4CC8"/>
    <w:rsid w:val="009C5DBC"/>
    <w:rsid w:val="009D6F79"/>
    <w:rsid w:val="009F12AE"/>
    <w:rsid w:val="009F12CA"/>
    <w:rsid w:val="00A06167"/>
    <w:rsid w:val="00A10811"/>
    <w:rsid w:val="00A12FA6"/>
    <w:rsid w:val="00A15911"/>
    <w:rsid w:val="00A236C2"/>
    <w:rsid w:val="00A27F7A"/>
    <w:rsid w:val="00A32D5A"/>
    <w:rsid w:val="00A35E98"/>
    <w:rsid w:val="00A5163D"/>
    <w:rsid w:val="00A605ED"/>
    <w:rsid w:val="00A61326"/>
    <w:rsid w:val="00A70420"/>
    <w:rsid w:val="00A75DD9"/>
    <w:rsid w:val="00A76F37"/>
    <w:rsid w:val="00A84293"/>
    <w:rsid w:val="00A85C54"/>
    <w:rsid w:val="00AB1D6E"/>
    <w:rsid w:val="00AC196C"/>
    <w:rsid w:val="00AC473F"/>
    <w:rsid w:val="00AC69FC"/>
    <w:rsid w:val="00AD0D5B"/>
    <w:rsid w:val="00AE14DE"/>
    <w:rsid w:val="00AF2AD8"/>
    <w:rsid w:val="00B052C1"/>
    <w:rsid w:val="00B127DF"/>
    <w:rsid w:val="00B174B4"/>
    <w:rsid w:val="00B36BCF"/>
    <w:rsid w:val="00B44AB8"/>
    <w:rsid w:val="00B459E4"/>
    <w:rsid w:val="00B60F1D"/>
    <w:rsid w:val="00B61EB8"/>
    <w:rsid w:val="00B64BD9"/>
    <w:rsid w:val="00B73A76"/>
    <w:rsid w:val="00B763DA"/>
    <w:rsid w:val="00B821E5"/>
    <w:rsid w:val="00B85478"/>
    <w:rsid w:val="00B8765D"/>
    <w:rsid w:val="00B95FB8"/>
    <w:rsid w:val="00BA26FF"/>
    <w:rsid w:val="00BA351E"/>
    <w:rsid w:val="00BA7668"/>
    <w:rsid w:val="00BB62F3"/>
    <w:rsid w:val="00BB722B"/>
    <w:rsid w:val="00BE04CD"/>
    <w:rsid w:val="00BE087D"/>
    <w:rsid w:val="00BE30B5"/>
    <w:rsid w:val="00BE4ABC"/>
    <w:rsid w:val="00C17123"/>
    <w:rsid w:val="00C359C2"/>
    <w:rsid w:val="00C7216A"/>
    <w:rsid w:val="00C739FF"/>
    <w:rsid w:val="00C77480"/>
    <w:rsid w:val="00C81FE5"/>
    <w:rsid w:val="00C903B0"/>
    <w:rsid w:val="00C90F6F"/>
    <w:rsid w:val="00CA4BA7"/>
    <w:rsid w:val="00CB0019"/>
    <w:rsid w:val="00CC19B3"/>
    <w:rsid w:val="00CD0D78"/>
    <w:rsid w:val="00CD6A5D"/>
    <w:rsid w:val="00CE436F"/>
    <w:rsid w:val="00CF5BB9"/>
    <w:rsid w:val="00D22B5F"/>
    <w:rsid w:val="00D27ED0"/>
    <w:rsid w:val="00D3080C"/>
    <w:rsid w:val="00D32F67"/>
    <w:rsid w:val="00D34DFA"/>
    <w:rsid w:val="00D43EDC"/>
    <w:rsid w:val="00D44CFB"/>
    <w:rsid w:val="00D47220"/>
    <w:rsid w:val="00D537CA"/>
    <w:rsid w:val="00D638E3"/>
    <w:rsid w:val="00D63A16"/>
    <w:rsid w:val="00D7754C"/>
    <w:rsid w:val="00D7798C"/>
    <w:rsid w:val="00D825B3"/>
    <w:rsid w:val="00D84723"/>
    <w:rsid w:val="00DB1C93"/>
    <w:rsid w:val="00DB3158"/>
    <w:rsid w:val="00DC6AFD"/>
    <w:rsid w:val="00DD2FFE"/>
    <w:rsid w:val="00DE5D38"/>
    <w:rsid w:val="00DF7461"/>
    <w:rsid w:val="00E134DC"/>
    <w:rsid w:val="00E3708C"/>
    <w:rsid w:val="00E371A5"/>
    <w:rsid w:val="00E45C7B"/>
    <w:rsid w:val="00E54FB0"/>
    <w:rsid w:val="00EA5ECB"/>
    <w:rsid w:val="00EA712F"/>
    <w:rsid w:val="00EC73A2"/>
    <w:rsid w:val="00EF65B1"/>
    <w:rsid w:val="00EF76BB"/>
    <w:rsid w:val="00F13828"/>
    <w:rsid w:val="00F22489"/>
    <w:rsid w:val="00F24CC1"/>
    <w:rsid w:val="00F312DE"/>
    <w:rsid w:val="00F43BDE"/>
    <w:rsid w:val="00F52215"/>
    <w:rsid w:val="00F56C37"/>
    <w:rsid w:val="00F57570"/>
    <w:rsid w:val="00F65189"/>
    <w:rsid w:val="00F66F48"/>
    <w:rsid w:val="00F725DC"/>
    <w:rsid w:val="00F74543"/>
    <w:rsid w:val="00F7466B"/>
    <w:rsid w:val="00F8294D"/>
    <w:rsid w:val="00FA3814"/>
    <w:rsid w:val="00FE19B8"/>
    <w:rsid w:val="00FE2878"/>
    <w:rsid w:val="00FF3388"/>
    <w:rsid w:val="00FF41F9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216"/>
  <w15:chartTrackingRefBased/>
  <w15:docId w15:val="{538A02F8-05D1-48B0-8BA3-B8443A5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F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2F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2F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F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F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grants.org/en/fmo/documents-library/blue-book-programme-areas-and-funds-eea-and-norway-grants-2021-2028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nowakowska@polin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kaliszewska@polin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iuroprasowe@pol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n.pl/pl/dla-mediow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8597-4ACC-481E-8ED3-A1540EBC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- MSZ</vt:lpstr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- MSZ</dc:title>
  <dc:subject/>
  <dc:creator>Dybała-Pacholak Anna</dc:creator>
  <cp:keywords/>
  <dc:description/>
  <cp:lastModifiedBy>Nowakowska Nina</cp:lastModifiedBy>
  <cp:revision>2</cp:revision>
  <cp:lastPrinted>2025-07-16T09:57:00Z</cp:lastPrinted>
  <dcterms:created xsi:type="dcterms:W3CDTF">2026-06-02T09:10:00Z</dcterms:created>
  <dcterms:modified xsi:type="dcterms:W3CDTF">2026-06-02T09:10:00Z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