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03C8D" w:rsidRPr="00A46630" w:rsidRDefault="00000000">
      <w:pPr>
        <w:pStyle w:val="Nagwek1"/>
        <w:spacing w:line="360" w:lineRule="auto"/>
        <w:rPr>
          <w:b/>
          <w:bCs/>
          <w:sz w:val="32"/>
          <w:szCs w:val="32"/>
        </w:rPr>
      </w:pPr>
      <w:bookmarkStart w:id="0" w:name="_5crkq96mu695" w:colFirst="0" w:colLast="0"/>
      <w:bookmarkEnd w:id="0"/>
      <w:r w:rsidRPr="00A46630">
        <w:rPr>
          <w:b/>
          <w:bCs/>
          <w:sz w:val="32"/>
          <w:szCs w:val="32"/>
        </w:rPr>
        <w:t>Amulet z literą hebrajską „hej”</w:t>
      </w:r>
    </w:p>
    <w:p w14:paraId="00000002" w14:textId="77777777" w:rsidR="00B03C8D" w:rsidRPr="00A46630" w:rsidRDefault="00000000" w:rsidP="00A46630">
      <w:pPr>
        <w:spacing w:after="120" w:line="360" w:lineRule="auto"/>
        <w:rPr>
          <w:b/>
          <w:bCs/>
          <w:sz w:val="24"/>
          <w:szCs w:val="24"/>
        </w:rPr>
      </w:pPr>
      <w:r w:rsidRPr="00A46630">
        <w:rPr>
          <w:b/>
          <w:bCs/>
          <w:sz w:val="24"/>
          <w:szCs w:val="24"/>
        </w:rPr>
        <w:t xml:space="preserve">XVIII/XIX wiek </w:t>
      </w:r>
    </w:p>
    <w:p w14:paraId="00000003" w14:textId="77777777" w:rsidR="00B03C8D" w:rsidRPr="00A46630" w:rsidRDefault="00000000" w:rsidP="00A46630">
      <w:pPr>
        <w:spacing w:after="120" w:line="360" w:lineRule="auto"/>
        <w:rPr>
          <w:b/>
          <w:bCs/>
          <w:sz w:val="24"/>
          <w:szCs w:val="24"/>
        </w:rPr>
      </w:pPr>
      <w:r w:rsidRPr="00A46630">
        <w:rPr>
          <w:b/>
          <w:bCs/>
          <w:sz w:val="24"/>
          <w:szCs w:val="24"/>
        </w:rPr>
        <w:t>srebro</w:t>
      </w:r>
    </w:p>
    <w:p w14:paraId="00000004" w14:textId="77777777" w:rsidR="00B03C8D" w:rsidRPr="00A46630" w:rsidRDefault="00000000" w:rsidP="00A46630">
      <w:pPr>
        <w:spacing w:after="120" w:line="360" w:lineRule="auto"/>
        <w:rPr>
          <w:b/>
          <w:bCs/>
          <w:sz w:val="24"/>
          <w:szCs w:val="24"/>
        </w:rPr>
      </w:pPr>
      <w:r w:rsidRPr="00A46630">
        <w:rPr>
          <w:b/>
          <w:bCs/>
          <w:sz w:val="24"/>
          <w:szCs w:val="24"/>
        </w:rPr>
        <w:t xml:space="preserve">50 mm × 39 mm </w:t>
      </w:r>
    </w:p>
    <w:p w14:paraId="00000006" w14:textId="77777777" w:rsidR="00B03C8D" w:rsidRPr="00A46630" w:rsidRDefault="00000000" w:rsidP="00A46630">
      <w:pPr>
        <w:spacing w:after="120" w:line="360" w:lineRule="auto"/>
        <w:rPr>
          <w:sz w:val="24"/>
          <w:szCs w:val="24"/>
        </w:rPr>
      </w:pPr>
      <w:r w:rsidRPr="00A46630">
        <w:rPr>
          <w:sz w:val="24"/>
          <w:szCs w:val="24"/>
        </w:rPr>
        <w:t>Niewielki amulet wykonany ze srebra. Ma formę pionowego prostokąta. W górnej części jego boki są delikatnie ścięte. Pomiędzy nimi znajduje się lekko zaokrąglony i wystający element. Został ozdobiony żłobieniami przypominającymi muszlę lub wachlarz.</w:t>
      </w:r>
    </w:p>
    <w:p w14:paraId="00000007" w14:textId="77777777" w:rsidR="00B03C8D" w:rsidRPr="00A46630" w:rsidRDefault="00000000" w:rsidP="00A46630">
      <w:pPr>
        <w:spacing w:after="120" w:line="360" w:lineRule="auto"/>
        <w:rPr>
          <w:sz w:val="24"/>
          <w:szCs w:val="24"/>
        </w:rPr>
      </w:pPr>
      <w:r w:rsidRPr="00A46630">
        <w:rPr>
          <w:sz w:val="24"/>
          <w:szCs w:val="24"/>
        </w:rPr>
        <w:t>Na samym szczycie umieszczono niewielki uchwyt do zawieszenia.</w:t>
      </w:r>
    </w:p>
    <w:p w14:paraId="00000009" w14:textId="77777777" w:rsidR="00B03C8D" w:rsidRPr="00A46630" w:rsidRDefault="00000000" w:rsidP="00A46630">
      <w:pPr>
        <w:spacing w:after="120" w:line="360" w:lineRule="auto"/>
        <w:rPr>
          <w:sz w:val="24"/>
          <w:szCs w:val="24"/>
        </w:rPr>
      </w:pPr>
      <w:r w:rsidRPr="00A46630">
        <w:rPr>
          <w:sz w:val="24"/>
          <w:szCs w:val="24"/>
        </w:rPr>
        <w:t xml:space="preserve">Powierzchnia amuletu jest nierówna. W szczególności zaokrąglone, lekko falujące brzegi sprawiają wrażenie jakby zostały uformowane ręcznie. Zdobienia wykonano techniką cyzelowania, polegającą na precyzyjnym modelowaniu metalu drobnymi narzędziami. Dzięki temu powierzchnię amuletu pokrywa gęsta faktura drobnych wgłębień. </w:t>
      </w:r>
    </w:p>
    <w:p w14:paraId="0000000B" w14:textId="77777777" w:rsidR="00B03C8D" w:rsidRPr="00A46630" w:rsidRDefault="00000000" w:rsidP="00A46630">
      <w:pPr>
        <w:spacing w:after="120" w:line="360" w:lineRule="auto"/>
        <w:rPr>
          <w:sz w:val="24"/>
          <w:szCs w:val="24"/>
        </w:rPr>
      </w:pPr>
      <w:r w:rsidRPr="00A46630">
        <w:rPr>
          <w:sz w:val="24"/>
          <w:szCs w:val="24"/>
        </w:rPr>
        <w:t>Na środku znajduje się wypukła litera „hej”. Składa się z dwóch części. Pierwszy odcinek to szerokie, poziome ramię. Z prawej strony opada w dół i jest zakończone ostro zarysowanym rombem. Po lewej stronie, nieco niżej, umieszczono drugi taki sam romb, zwieńczony na górze okrągłym elementem. Romb jest lekko odsunięty od pierwszego poziomego odcinka. Oba kształty mają gładką, błyszczącą powierzchnię, która kontrastuje z ziarnistym tłem.</w:t>
      </w:r>
    </w:p>
    <w:p w14:paraId="0000000C" w14:textId="77777777" w:rsidR="00B03C8D" w:rsidRPr="00A46630" w:rsidRDefault="00000000" w:rsidP="00A46630">
      <w:pPr>
        <w:spacing w:before="240" w:after="120" w:line="360" w:lineRule="auto"/>
        <w:rPr>
          <w:sz w:val="24"/>
          <w:szCs w:val="24"/>
        </w:rPr>
      </w:pPr>
      <w:r w:rsidRPr="00A46630">
        <w:rPr>
          <w:sz w:val="24"/>
          <w:szCs w:val="24"/>
        </w:rPr>
        <w:t>Literę „hej” otacza rama przypominająca portal. Tworzą ją dwie pionowe kolumny zwieńczone łukiem. Kolumny są ozdobione spiralnym motywem. Tego typu portalowa oprawa nawiązuje do tradycyjnych żydowskich przedstawień bramy, symbolizujących przejście do sfery sacrum.</w:t>
      </w:r>
    </w:p>
    <w:p w14:paraId="0000000D" w14:textId="77777777" w:rsidR="00B03C8D" w:rsidRPr="00A46630" w:rsidRDefault="00000000" w:rsidP="00A46630">
      <w:pPr>
        <w:spacing w:after="120" w:line="360" w:lineRule="auto"/>
        <w:rPr>
          <w:sz w:val="24"/>
          <w:szCs w:val="24"/>
        </w:rPr>
      </w:pPr>
      <w:r w:rsidRPr="00A46630">
        <w:rPr>
          <w:sz w:val="24"/>
          <w:szCs w:val="24"/>
        </w:rPr>
        <w:t>Żydowscy mistycy i kabaliści przypisywali literom hebrajskiego alfabetu ponadnaturalną moc, wierząc, że uczestniczyły w boskim akcie stworzenia świata. Myśl ta przenikała także do kultury popularnej i ludowej. Znajdowała wyraz w powszechnym używaniu amuletów oraz w rozmaitych opowieściach i legendach.</w:t>
      </w:r>
      <w:r w:rsidRPr="00A46630">
        <w:rPr>
          <w:rFonts w:ascii="Calibri" w:eastAsia="Calibri" w:hAnsi="Calibri" w:cs="Calibri"/>
          <w:sz w:val="24"/>
          <w:szCs w:val="24"/>
        </w:rPr>
        <w:t xml:space="preserve"> </w:t>
      </w:r>
      <w:r w:rsidRPr="00A46630">
        <w:rPr>
          <w:sz w:val="24"/>
          <w:szCs w:val="24"/>
        </w:rPr>
        <w:t xml:space="preserve">Amulety często zawierały litery lub ich kombinacje odnoszące się do imienia Boga, </w:t>
      </w:r>
      <w:r w:rsidRPr="00A46630">
        <w:rPr>
          <w:sz w:val="24"/>
          <w:szCs w:val="24"/>
        </w:rPr>
        <w:lastRenderedPageBreak/>
        <w:t>czy modlitw. Kabaliści interpretowali także liczbowe wartości słów, wierząc, że takie podejście pomaga odkryć ukryte treści w Torze.</w:t>
      </w:r>
    </w:p>
    <w:p w14:paraId="0000000F" w14:textId="77777777" w:rsidR="00B03C8D" w:rsidRPr="00A46630" w:rsidRDefault="00000000" w:rsidP="00A46630">
      <w:pPr>
        <w:spacing w:after="120" w:line="360" w:lineRule="auto"/>
        <w:rPr>
          <w:sz w:val="24"/>
          <w:szCs w:val="24"/>
        </w:rPr>
      </w:pPr>
      <w:r w:rsidRPr="00A46630">
        <w:rPr>
          <w:sz w:val="24"/>
          <w:szCs w:val="24"/>
        </w:rPr>
        <w:t>Litera „hej” to piąta litera alfabetu hebrajskiego, której wartość liczbowa nawiązuje m.in. do Pięcioksięgu. Bywa kojarzona z postacią o uniesionych rękach — gestem uwielbienia lub zawołania „oto!”. W tradycji żydowskiej i kabalistycznej oznacza „oddech” – czyli tchnienie życia.</w:t>
      </w:r>
      <w:r w:rsidRPr="00A46630">
        <w:rPr>
          <w:rFonts w:ascii="Roboto" w:eastAsia="Roboto" w:hAnsi="Roboto" w:cs="Roboto"/>
          <w:color w:val="444746"/>
          <w:sz w:val="24"/>
          <w:szCs w:val="24"/>
        </w:rPr>
        <w:t xml:space="preserve"> </w:t>
      </w:r>
      <w:r w:rsidRPr="00A46630">
        <w:rPr>
          <w:sz w:val="24"/>
          <w:szCs w:val="24"/>
        </w:rPr>
        <w:t xml:space="preserve">Otwarty kształt litery symbolizuje przejście i możliwość nawrócenia. </w:t>
      </w:r>
    </w:p>
    <w:p w14:paraId="00000010" w14:textId="77777777" w:rsidR="00B03C8D" w:rsidRPr="00A46630" w:rsidRDefault="00000000" w:rsidP="00A46630">
      <w:pPr>
        <w:spacing w:after="120" w:line="360" w:lineRule="auto"/>
        <w:rPr>
          <w:sz w:val="24"/>
          <w:szCs w:val="24"/>
        </w:rPr>
      </w:pPr>
      <w:r w:rsidRPr="00A46630">
        <w:rPr>
          <w:sz w:val="24"/>
          <w:szCs w:val="24"/>
        </w:rPr>
        <w:t xml:space="preserve">Pojawia się także w </w:t>
      </w:r>
      <w:proofErr w:type="spellStart"/>
      <w:r w:rsidRPr="00A46630">
        <w:rPr>
          <w:sz w:val="24"/>
          <w:szCs w:val="24"/>
        </w:rPr>
        <w:t>Tetragramie</w:t>
      </w:r>
      <w:proofErr w:type="spellEnd"/>
      <w:r w:rsidRPr="00A46630">
        <w:rPr>
          <w:sz w:val="24"/>
          <w:szCs w:val="24"/>
        </w:rPr>
        <w:t xml:space="preserve">, czteroliterowym imieniu Boga. Litera „hej” umieszczona na amulecie jest symbolem ochrony, życia i boskiej obecności. </w:t>
      </w:r>
    </w:p>
    <w:sectPr w:rsidR="00B03C8D" w:rsidRPr="00A4663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970F103-80C7-4650-AB4A-3FEBB3E75FEF}"/>
  </w:font>
  <w:font w:name="Roboto">
    <w:panose1 w:val="02000000000000000000"/>
    <w:charset w:val="00"/>
    <w:family w:val="auto"/>
    <w:pitch w:val="variable"/>
    <w:sig w:usb0="E0000AFF" w:usb1="5000217F" w:usb2="00000021" w:usb3="00000000" w:csb0="0000019F" w:csb1="00000000"/>
    <w:embedRegular r:id="rId2" w:fontKey="{F6CB6F6D-CCB9-4971-AC8B-C1CE6AD07EC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embedRegular r:id="rId3" w:fontKey="{94FBD411-96AD-49C3-8614-969976A5E08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C8D"/>
    <w:rsid w:val="006420E6"/>
    <w:rsid w:val="00A00E05"/>
    <w:rsid w:val="00A46630"/>
    <w:rsid w:val="00AC605A"/>
    <w:rsid w:val="00B03C8D"/>
    <w:rsid w:val="00D70C43"/>
    <w:rsid w:val="00F51DA8"/>
  </w:rsids>
  <m:mathPr>
    <m:mathFont m:val="Cambria Math"/>
    <m:brkBin m:val="before"/>
    <m:brkBinSub m:val="--"/>
    <m:smallFrac m:val="0"/>
    <m:dispDef/>
    <m:lMargin m:val="0"/>
    <m:rMargin m:val="0"/>
    <m:defJc m:val="centerGroup"/>
    <m:wrapIndent m:val="1440"/>
    <m:intLim m:val="subSup"/>
    <m:naryLim m:val="undOvr"/>
  </m:mathPr>
  <w:themeFontLang w:val="pl-P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9572D"/>
  <w15:docId w15:val="{02A1A361-991E-4FC1-8308-CD135D52A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347</Words>
  <Characters>2082</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Amulet z hebrajską literą hej - audiodeskrypcja obiektu z wystawy Moc słów. O językach żydowskich</dc:title>
  <cp:lastModifiedBy>Popławska Natalia</cp:lastModifiedBy>
  <cp:revision>5</cp:revision>
  <dcterms:created xsi:type="dcterms:W3CDTF">2026-01-21T09:01:00Z</dcterms:created>
  <dcterms:modified xsi:type="dcterms:W3CDTF">2026-01-21T13:09:00Z</dcterms:modified>
</cp:coreProperties>
</file>