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10" w14:textId="24C55C11" w:rsidR="007F2DEB" w:rsidRPr="00202B93" w:rsidRDefault="007F2DEB" w:rsidP="00202B93">
      <w:pPr>
        <w:pStyle w:val="Nagwek1"/>
        <w:spacing w:line="360" w:lineRule="auto"/>
        <w:rPr>
          <w:rFonts w:asciiTheme="minorHAnsi" w:eastAsia="Times New Roman" w:hAnsiTheme="minorHAnsi"/>
          <w:b/>
          <w:bCs/>
          <w:color w:val="auto"/>
          <w:sz w:val="28"/>
          <w:szCs w:val="28"/>
          <w:u w:color="000000"/>
          <w:bdr w:val="nil"/>
          <w:lang w:eastAsia="zh-CN" w:bidi="he-IL"/>
        </w:rPr>
      </w:pPr>
      <w:r w:rsidRPr="00202B93">
        <w:rPr>
          <w:rFonts w:asciiTheme="minorHAnsi" w:eastAsia="Times New Roman" w:hAnsiTheme="minorHAnsi"/>
          <w:b/>
          <w:bCs/>
          <w:color w:val="auto"/>
          <w:sz w:val="28"/>
          <w:szCs w:val="28"/>
          <w:u w:color="000000"/>
          <w:bdr w:val="nil"/>
          <w:lang w:eastAsia="zh-CN" w:bidi="he-IL"/>
        </w:rPr>
        <w:t xml:space="preserve">Podcast „Tu Mikołaj Grynberg”. Transkrypcja </w:t>
      </w:r>
      <w:r w:rsidR="000B12DD" w:rsidRPr="00202B93">
        <w:rPr>
          <w:rFonts w:asciiTheme="minorHAnsi" w:eastAsia="Times New Roman" w:hAnsiTheme="minorHAnsi"/>
          <w:b/>
          <w:bCs/>
          <w:color w:val="auto"/>
          <w:sz w:val="28"/>
          <w:szCs w:val="28"/>
          <w:u w:color="000000"/>
          <w:bdr w:val="nil"/>
          <w:lang w:eastAsia="zh-CN" w:bidi="he-IL"/>
        </w:rPr>
        <w:t xml:space="preserve">drugiego </w:t>
      </w:r>
      <w:r w:rsidRPr="00202B93">
        <w:rPr>
          <w:rFonts w:asciiTheme="minorHAnsi" w:eastAsia="Times New Roman" w:hAnsiTheme="minorHAnsi"/>
          <w:b/>
          <w:bCs/>
          <w:color w:val="auto"/>
          <w:sz w:val="28"/>
          <w:szCs w:val="28"/>
          <w:u w:color="000000"/>
          <w:bdr w:val="nil"/>
          <w:lang w:eastAsia="zh-CN" w:bidi="he-IL"/>
        </w:rPr>
        <w:t>odcinka „</w:t>
      </w:r>
      <w:r w:rsidR="000B12DD" w:rsidRPr="00202B93">
        <w:rPr>
          <w:rFonts w:asciiTheme="minorHAnsi" w:eastAsia="Times New Roman" w:hAnsiTheme="minorHAnsi"/>
          <w:b/>
          <w:bCs/>
          <w:color w:val="auto"/>
          <w:sz w:val="28"/>
          <w:szCs w:val="28"/>
          <w:u w:color="000000"/>
          <w:bdr w:val="nil"/>
          <w:lang w:eastAsia="zh-CN" w:bidi="he-IL"/>
        </w:rPr>
        <w:t>Pani Stefa</w:t>
      </w:r>
      <w:r w:rsidR="007403D6" w:rsidRPr="00202B93">
        <w:rPr>
          <w:rFonts w:asciiTheme="minorHAnsi" w:eastAsia="Times New Roman" w:hAnsiTheme="minorHAnsi"/>
          <w:b/>
          <w:bCs/>
          <w:color w:val="auto"/>
          <w:sz w:val="28"/>
          <w:szCs w:val="28"/>
          <w:u w:color="000000"/>
          <w:bdr w:val="nil"/>
          <w:lang w:eastAsia="zh-CN" w:bidi="he-IL"/>
        </w:rPr>
        <w:t>”</w:t>
      </w:r>
    </w:p>
    <w:p w14:paraId="4054A175"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Muzeum Historii Żydów Polskich POLIN zaprasza na cykl podcastów „Tu Mikołaj Grynberg” po-święcony </w:t>
      </w:r>
      <w:proofErr w:type="spellStart"/>
      <w:r w:rsidRPr="00202B93">
        <w:rPr>
          <w:rFonts w:eastAsia="Calibri" w:cs="Calibri"/>
          <w:bCs/>
          <w:kern w:val="0"/>
          <w:lang w:eastAsia="pl-PL"/>
          <w14:ligatures w14:val="none"/>
        </w:rPr>
        <w:t>Herstoriom</w:t>
      </w:r>
      <w:proofErr w:type="spellEnd"/>
      <w:r w:rsidRPr="00202B93">
        <w:rPr>
          <w:rFonts w:eastAsia="Calibri" w:cs="Calibri"/>
          <w:bCs/>
          <w:kern w:val="0"/>
          <w:lang w:eastAsia="pl-PL"/>
          <w14:ligatures w14:val="none"/>
        </w:rPr>
        <w:t xml:space="preserve">. To rozmowy o kobietach. Losy części z nich zostały udokumentowane w zbiorach muzeum i opracowane na portalu kolekcje.polin.pl. </w:t>
      </w:r>
    </w:p>
    <w:p w14:paraId="09C2D9A7"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Tu Mikołaj Grynberg. Zapraszam Państwa na spotkanie z Magdą Kicińską, dziennikarką, reporterką związaną z miesięcznikiem Pismo, autorką książki „Pani Stefa” o Stefanii Wilczyńskiej. I o niej właśnie będziemy dzisiaj rozmawiać. Zapraszam. Dzień dobry Magda. </w:t>
      </w:r>
    </w:p>
    <w:p w14:paraId="13248E79"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[Magda Kicińska] Dzień dobry Mikołaju.</w:t>
      </w:r>
    </w:p>
    <w:p w14:paraId="7C7A7146"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Chciałem Cię namówić, żebyś nam przedstawiła Panią Stefanię Wilczyńską, bo przez długi czas myśleliśmy, że ona żyła w cieniu doktora Korczaka, była przykryta tym cieniem, a dzisiaj już nie słychać ani doktora Korczaka, ani Stefani Wilczyńskiej, więc wróćmy do niej. </w:t>
      </w:r>
    </w:p>
    <w:p w14:paraId="005888EA"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Też myślę, że nie słychać o tym, o co im chodziło, co było dla nich ważne. Nie ma tego głosu i tej perspektywy. Jej zresztą w ogóle nie było poza murami Krochmalnej, dzisiaj Jaktorowskiej, czyli miejsca, w którym był Dom Sierot. Ten głos, ich pomysły, ich poglądy na to, czym jest wychowanie dziecka, kim jest dziecko w ogóle, się nie rozpowszechniły. Nie rozpowszechniły się wtedy, kiedy oni działali, czyli jeszcze przed I wojną światową zaczęli troszczyć się o osierocone dzieci. Ani wtedy, kiedy działali najbardziej prężnie, czyli w latach 20-tych, 30-tych, ani też po ich śmierci. I myślę sobie, że to jest, dopiero zaczęliśmy, a już przechodzę do konkluzji, ale jakaś bardzo smutna puenta dla obu tych życiorysów, że te ważne… te wartości, o których oni mówili i te ważne słowa, które przede wszystkim Janusz Korczak pozostawił, nie zostały wcielone w życie, nie są naszą praktyką, nie są naszą praktyką też taką systemową podejścia do słabszych, do dzieci, które wychowują się poza swoją rodziną biologiczną z bardzo różnych przyczyn. Bo na wielu poziomach ich realia pracy, Janusza Korczaka i Stefanii Wilczyńskiej, no niestety na wielu poziomach się nie zmieniły. Ale to pewnie na dalszą część tej rozmowy. </w:t>
      </w:r>
    </w:p>
    <w:p w14:paraId="5F891D7F"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lastRenderedPageBreak/>
        <w:t xml:space="preserve">[Mikołaj Grynberg] A czym się różniło ich podejście od podejścia im współczesnych? </w:t>
      </w:r>
    </w:p>
    <w:p w14:paraId="2A3D7C96"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Różniło się przede wszystkim takim punktem wyjścia do pracy wychowawczej, punktem wyjścia, którym była podmiotowość dziecka. Oni ją traktowali bardzo poważnie, wiedzieli, wierzyli i to postulowali, że tak, dziecko jest odrębnym bytem, dziecko ma prawo do bycia szanowanym, że ma swoją integralność cielesną, emocjonalną, psychiczną, którą należy respektować. I tak wymyślili system domu sierot, system wychowawczy, który tam realizowali w praktyce i który też był postulowany w ich pismach, przede wszystkim w pismach Korczaka, jako taki model, modelowe rozwiązanie warte do rozpowszechniania w innych miejscach też, który traktuje, który to model traktuje młodego człowieka jako ważnego partnera w dialogu, jako osobę, no właśnie jak mówiłam, której się należy szacunek, która ma swoje prawa. To przecież było wtedy w tych latach dziesiątych i dwudziestych XX wieku wciąż jeszcze bardzo kontrowersyjnym pomysłem, że dziecko ma jakiekolwiek prawa i że te prawa należy szanować, a im dziecko starsze, tym bardziej włączać je we współżycie społeczne albo w życie rodzinne, że ono też właśnie może brać odpowiedzialność za miejsce, w którym żyje. Z dzisiejszej perspektywy, też kiedy dużo więcej wiemy o psychiatrii, o psychologii człowieka, to może już nie są kontrowersyjne tezy, chociaż myślę sobie, że w wielu miejscach w naszym kraju również takie podejście do dziecka jest mało rozpowszechnione. No ale wtedy, kiedy Korczak zaczynał spisywać te swoje wtedy wywrotowe pomysły, to była wciąż nowość. </w:t>
      </w:r>
    </w:p>
    <w:p w14:paraId="13E15A7D"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Oni zakładali razem ten dom sierot na Krochmalnej? To była pierwsza placówka? </w:t>
      </w:r>
    </w:p>
    <w:p w14:paraId="475938A3"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Nie, to była placówka, zróbmy parę kroków wstecz do mniej więcej 1907 roku i teraz ze Śródmieścia musielibyśmy się trochę na północ Warszawy przenieść, czyli na ulicę Franciszkańską, która wtedy była ważną ulicą tak zwanej Dzielnicy Północnej i tam na tej Franciszkańskiej mieścił się przytułek, który towarzystwo pomoc dla sierot objęło swoją opieką. A towarzystwo pomoc dla sierot to było takie, mówiąc dzisiejszym językiem, </w:t>
      </w:r>
      <w:proofErr w:type="spellStart"/>
      <w:r w:rsidRPr="00202B93">
        <w:rPr>
          <w:rFonts w:eastAsia="Calibri" w:cs="Calibri"/>
          <w:bCs/>
          <w:kern w:val="0"/>
          <w:lang w:eastAsia="pl-PL"/>
          <w14:ligatures w14:val="none"/>
        </w:rPr>
        <w:t>NGO’s</w:t>
      </w:r>
      <w:proofErr w:type="spellEnd"/>
      <w:r w:rsidRPr="00202B93">
        <w:rPr>
          <w:rFonts w:eastAsia="Calibri" w:cs="Calibri"/>
          <w:bCs/>
          <w:kern w:val="0"/>
          <w:lang w:eastAsia="pl-PL"/>
          <w14:ligatures w14:val="none"/>
        </w:rPr>
        <w:t xml:space="preserve">, które założyła przede wszystkim żydowska inteligencja, lekarze, prawnicy, osoby majętne, które w duchu Haskali uznawały, że ich obowiązkiem moralnym i społecznym jest troska o tych, którzy mają w życiu mniej szczęścia niż oni. I jako towarzystwo pomoc dla sierot podjęli się opieki nad tymże sierocińcem, tylko że to co my dzisiaj nazywamy, czy jak myślimy hasło sierociniec, to też jest słowo już z dawnego słownika, to było tak naprawdę takie przytulisko </w:t>
      </w:r>
      <w:r w:rsidRPr="00202B93">
        <w:rPr>
          <w:rFonts w:eastAsia="Calibri" w:cs="Calibri"/>
          <w:bCs/>
          <w:kern w:val="0"/>
          <w:lang w:eastAsia="pl-PL"/>
          <w14:ligatures w14:val="none"/>
        </w:rPr>
        <w:lastRenderedPageBreak/>
        <w:t xml:space="preserve">bardziej. To było miejsce, gdzie te dzieci, które albo miały rodziców, ale żyły w głębokiej biedzie, albo nie miały rodziców i były, to się wtedy określało dziećmi ulicy mogły przyjść, dostać ciepłą zupę albo herbatę, spędzić parę chwil, no nie na ulicy, tylko pod dachem i to w zasadzie tyle. Dopiero w okolicy 1907-1908 roku to się zaczęło zmieniać, dlatego że do tego przytułku, o którym wiedziała najprawdopodobniej od swojej matki Salomei Wilczyńskiej, która była członkinią Towarzystwa Pomoc dla Sierot, o tym miejscu dowiedziała się młoda, już po studiach za granicą, Stefania Wilczyńska, która nigdzie się nie zachowały żadne dokumenty, które by odpowiedziały na pytanie dlaczego, ale postanowiła tam przyjść i znowu mówiąc językiem dzisiejszym, animować dzieci i młodzież, czyli nie tylko zapewnić im tę ciepłą zupę czy herbatę, ale też w jakiś sposób zadbać o ich rozwój, o to żeby, no one nie tylko tam przychodziły, żeby się ogrzać i mieć dach nad głową, ale żeby dostać też coś więcej. To nie było wychowanie, no bo to nie była tego rodzaju placówka. No niemniej jednak Towarzystwo Pomoc dla Sierot wtedy zaczęło też w okolicach tego 1909-10 roku myśleć o tym, że trzeba do tego obowiązku opieki nad sierotami podejść w trochę inny sposób. Zaczęli robić </w:t>
      </w:r>
      <w:proofErr w:type="spellStart"/>
      <w:r w:rsidRPr="00202B93">
        <w:rPr>
          <w:rFonts w:eastAsia="Calibri" w:cs="Calibri"/>
          <w:bCs/>
          <w:kern w:val="0"/>
          <w:lang w:eastAsia="pl-PL"/>
          <w14:ligatures w14:val="none"/>
        </w:rPr>
        <w:t>fundraising</w:t>
      </w:r>
      <w:proofErr w:type="spellEnd"/>
      <w:r w:rsidRPr="00202B93">
        <w:rPr>
          <w:rFonts w:eastAsia="Calibri" w:cs="Calibri"/>
          <w:bCs/>
          <w:kern w:val="0"/>
          <w:lang w:eastAsia="pl-PL"/>
          <w14:ligatures w14:val="none"/>
        </w:rPr>
        <w:t xml:space="preserve">. Zebrali pieniądze na zakup działki na ulicy Krochmalnej i tam w 1912 roku w październiku został otworzony nowoczesny, jak na tamte warunki, bardzo nowoczesny gmach, w którym to gmachu, do którego to gmachu z około pięćdziesięciorgiem dzieci właśnie z Franciszkańskiej przyszła Stefania Wilczyńska i przyszedł tam też już jako dyrektor placówki Janusz Korczak. Natomiast on był zaproszony do tego grona przez Izaaka </w:t>
      </w:r>
      <w:proofErr w:type="spellStart"/>
      <w:r w:rsidRPr="00202B93">
        <w:rPr>
          <w:rFonts w:eastAsia="Calibri" w:cs="Calibri"/>
          <w:bCs/>
          <w:kern w:val="0"/>
          <w:lang w:eastAsia="pl-PL"/>
          <w14:ligatures w14:val="none"/>
        </w:rPr>
        <w:t>Eliasberga</w:t>
      </w:r>
      <w:proofErr w:type="spellEnd"/>
      <w:r w:rsidRPr="00202B93">
        <w:rPr>
          <w:rFonts w:eastAsia="Calibri" w:cs="Calibri"/>
          <w:bCs/>
          <w:kern w:val="0"/>
          <w:lang w:eastAsia="pl-PL"/>
          <w14:ligatures w14:val="none"/>
        </w:rPr>
        <w:t xml:space="preserve">, też lekarza, który był przewodniczącym Towarzystwa Pomoc dla Sierot i przez Stefanię Wilczyńską. I oni tak we trójkę nadzorowali </w:t>
      </w:r>
      <w:proofErr w:type="spellStart"/>
      <w:r w:rsidRPr="00202B93">
        <w:rPr>
          <w:rFonts w:eastAsia="Calibri" w:cs="Calibri"/>
          <w:bCs/>
          <w:kern w:val="0"/>
          <w:lang w:eastAsia="pl-PL"/>
          <w14:ligatures w14:val="none"/>
        </w:rPr>
        <w:t>owy</w:t>
      </w:r>
      <w:proofErr w:type="spellEnd"/>
      <w:r w:rsidRPr="00202B93">
        <w:rPr>
          <w:rFonts w:eastAsia="Calibri" w:cs="Calibri"/>
          <w:bCs/>
          <w:kern w:val="0"/>
          <w:lang w:eastAsia="pl-PL"/>
          <w14:ligatures w14:val="none"/>
        </w:rPr>
        <w:t xml:space="preserve"> dom. Natomiast Janusz Korczak się tam pojawił, kiedy już ten zalążek i pomysł na to, żeby się inaczej dziećmi opiekować już był. Natomiast potrzebował ten pomysł wizjonera, który to, co oni gdzieś tam myśleli, że może będzie dobre, rozpisać już na konkrety. I Korczak, który był lekarzem pediatrą, który też już był po literackim debiucie, był taką dosyć znaną w kręgach przynajmniej Towarzystwa Pomoc dla Sierot, postrzegany właśnie jako taka osoba z nowatorską wizją, która na dziecko patrzy inaczej. I trochę ten dom sierot na Krochmalnej był takim wielkim eksperymentem charytatywno-społecznym, który Janusz Korczak w detalach rozpisał, w teorii, razem ze Stefanią Wilczyńską przez następne dekady realizowali. </w:t>
      </w:r>
    </w:p>
    <w:p w14:paraId="44DEAD24"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Mówisz o domu sierot, który działał w Warszawie, ale żeby było jasne, to był dom sierot żydowskich, czy tam mogły być też dzieci nieżydowskie? </w:t>
      </w:r>
    </w:p>
    <w:p w14:paraId="2DA51572"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Były dzieci żydowskie, również dlatego, że kiedy już skończyła się I wojna światowa, kiedy powstało państwo polskie i zaczęło się organizować, to środki na to, żeby systemowo wspierać takie placówki, jakim były sierocińce, nie były niestety, mimo tego, że konstytucja marcowa to gwarantowała, równo dystrybuowana. W związku z tym placówki wyznaniowe i szkolne, i opiekuńcze, dostawały po prostu mniej środków i to też było jednym z takich powodów, żeby szczególną troską objąć dzieci żydowskie i żeby to była taka placówka, która właśnie nimi będzie się zajmowała, dlatego że to Towarzystwo Pomoc dla Sierot wychodziło też z takiego założenia, które zawsze, kiedy się taką aktywistyczno-charytatywną działalność prowadzi, jest pewnie bardzo trudne do podjęcia są takie decyzje, żeby dać jak największej grupie jak najlepsze możliwości, przy czym wiemy, że wszystkim pomóc się nie da, więc wybieramy setkę dzieci, która przez 7 lat, bo na tyle można było w domu sierot się znaleźć, z pewnymi wyjątkami, bo jeżeli ktoś się uczył, to mógł sobie ten pobyt przedłużyć. Natomiast, żeby przez te 7 lat dzieciom dać maksimum. I dlatego ta decyzja, żeby to była placówka, która nie będzie bardzo masowa, była konsekwentnie realizowana. Może tak to należałoby ująć. I myślę sobie też, że to skupienie się na dziecku żydowskim było bardzo spójne z tym postrzeganiem tego, co dzieciom w domu sierot chciano dać, bo chciano je tam w bardzo dużym stopniu dowartościować w obliczu antysemityzmu, z którego przychodziły. I to, jak mówię o tym, na poziomie nawet dystrybuowania środków było bardzo widoczne, bo te dysproporcje w dotacjach państwowych były znaczne, tak na poziomie szkół, jak i placówek opiekuńczych. Więc oni chcieli wynieść je z biedy, ale też wynieść je z ograniczeń dyskryminacji państwowej i społecznej, która je otaczała. </w:t>
      </w:r>
    </w:p>
    <w:p w14:paraId="31348850"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Tak już wiemy, jak to wygląda.  Na czym polegała rola Wilczyńskiej tam? </w:t>
      </w:r>
    </w:p>
    <w:p w14:paraId="475E2CFE"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Ona była, formalnie była naczelną kierowniczką, taki miała tytuł. I tak się też podpisywała. I chyba gdybym znowu próbowała to na współczesną nomenklaturę przełożyć, to ona była taką dyrektorką operacyjną, osobą, która… </w:t>
      </w:r>
    </w:p>
    <w:p w14:paraId="02F0F481"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w:t>
      </w:r>
      <w:proofErr w:type="spellStart"/>
      <w:r w:rsidRPr="00202B93">
        <w:rPr>
          <w:rFonts w:eastAsia="Calibri" w:cs="Calibri"/>
          <w:bCs/>
          <w:kern w:val="0"/>
          <w:lang w:eastAsia="pl-PL"/>
          <w14:ligatures w14:val="none"/>
        </w:rPr>
        <w:t>Executive</w:t>
      </w:r>
      <w:proofErr w:type="spellEnd"/>
      <w:r w:rsidRPr="00202B93">
        <w:rPr>
          <w:rFonts w:eastAsia="Calibri" w:cs="Calibri"/>
          <w:bCs/>
          <w:kern w:val="0"/>
          <w:lang w:eastAsia="pl-PL"/>
          <w14:ligatures w14:val="none"/>
        </w:rPr>
        <w:t xml:space="preserve"> </w:t>
      </w:r>
      <w:proofErr w:type="spellStart"/>
      <w:r w:rsidRPr="00202B93">
        <w:rPr>
          <w:rFonts w:eastAsia="Calibri" w:cs="Calibri"/>
          <w:bCs/>
          <w:kern w:val="0"/>
          <w:lang w:eastAsia="pl-PL"/>
          <w14:ligatures w14:val="none"/>
        </w:rPr>
        <w:t>director</w:t>
      </w:r>
      <w:proofErr w:type="spellEnd"/>
      <w:r w:rsidRPr="00202B93">
        <w:rPr>
          <w:rFonts w:eastAsia="Calibri" w:cs="Calibri"/>
          <w:bCs/>
          <w:kern w:val="0"/>
          <w:lang w:eastAsia="pl-PL"/>
          <w14:ligatures w14:val="none"/>
        </w:rPr>
        <w:t xml:space="preserve">. </w:t>
      </w:r>
    </w:p>
    <w:p w14:paraId="70E09F60"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Tak, tak, tak. Menadżerką, projekt menadżerką była na najwyższym poziomie tego systemu. A konkretnie wyglądało to tak, że ktoś musiał dbać o to, żeby dzieci były </w:t>
      </w:r>
      <w:proofErr w:type="spellStart"/>
      <w:r w:rsidRPr="00202B93">
        <w:rPr>
          <w:rFonts w:eastAsia="Calibri" w:cs="Calibri"/>
          <w:bCs/>
          <w:kern w:val="0"/>
          <w:lang w:eastAsia="pl-PL"/>
          <w14:ligatures w14:val="none"/>
        </w:rPr>
        <w:t>zaopiekowane</w:t>
      </w:r>
      <w:proofErr w:type="spellEnd"/>
      <w:r w:rsidRPr="00202B93">
        <w:rPr>
          <w:rFonts w:eastAsia="Calibri" w:cs="Calibri"/>
          <w:bCs/>
          <w:kern w:val="0"/>
          <w:lang w:eastAsia="pl-PL"/>
          <w14:ligatures w14:val="none"/>
        </w:rPr>
        <w:t xml:space="preserve"> pod względem materialnym. Więc mimo tego, że była intendentka, no to ktoś musiał decydować jak dzielimy budżet, który mamy, który zawsze był niewystarczający, więc to ona podejmowała decyzje budżetowo-wydatkowe. Ona zajmowała się, była taką łączniczką między szkołami, do których chodziły dzieci, bo one wychodziły do szkoły na zewnątrz. Były to szkoły i wyznaniowe, i publiczne, bo to zależało od decyzji rodzin, bo przecież to były często sieroty społeczne, a nie biologiczne. Czy dziecko idzie do szkoły wyznaniowej, czy nie. To też często wynikało z języka, którym się dzieci posługiwały. Więc ona chodziła do szkół i też była taką przedstawicielką każdego dziecka w każdej szkole, do której wychodziły. Ona zajmowała się taką codzienną organizacją pracy, no bo ten system polegał na tym, że dom sierot nie jest przechowalnią, nie jest miejscem, w którym dzieci tylko śpią i jedzą, ale jest placówką wychowawczą w pełnym tego słowa znaczeniu, to znaczy ma program angażujący dzieci od tych najmłodszych, 7-8 latków po 14-latków, we współżycie, we współgospodarzenie tym miejscem. </w:t>
      </w:r>
    </w:p>
    <w:p w14:paraId="744F0DA6"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[Mikołaj Grynberg] Oni budowali społeczność po prostu, tak?</w:t>
      </w:r>
    </w:p>
    <w:p w14:paraId="17CBA01A"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Tak, tam była wspólnota, która brała odpowiedzialność za funkcjonowanie domu. Niemniej jednak ktoś musiał harmonogram codzienny, miesięczny i roczny planować i pilnować, a było to bardzo takie logistycznie skomplikowane zajęcie, dlatego że organizacja tego domu polegała na systemie dyżurów. Ktoś miał dyżur w kuchni, ktoś miał dyżur. </w:t>
      </w:r>
    </w:p>
    <w:p w14:paraId="79C9D697"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Ale ktoś z dzieci? </w:t>
      </w:r>
    </w:p>
    <w:p w14:paraId="4F3A5431"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Tak. I te dyżury były w kuchni, dotyczyły sprzątania, dotyczyły pomocy w odrabianiu lekcji starsi młodszym. Były dyżury związane z pielęgnacją ogrodu, bo dom sierot miał dosyć duży ogród, którym się też trzeba było zajmować itd., itd. Tych dyżurów było sporo. No i one musiały być dostosowane do wieku dzieci, do umiejętności. Były też neutralne </w:t>
      </w:r>
      <w:proofErr w:type="spellStart"/>
      <w:r w:rsidRPr="00202B93">
        <w:rPr>
          <w:rFonts w:eastAsia="Calibri" w:cs="Calibri"/>
          <w:bCs/>
          <w:kern w:val="0"/>
          <w:lang w:eastAsia="pl-PL"/>
          <w14:ligatures w14:val="none"/>
        </w:rPr>
        <w:t>genderowo</w:t>
      </w:r>
      <w:proofErr w:type="spellEnd"/>
      <w:r w:rsidRPr="00202B93">
        <w:rPr>
          <w:rFonts w:eastAsia="Calibri" w:cs="Calibri"/>
          <w:bCs/>
          <w:kern w:val="0"/>
          <w:lang w:eastAsia="pl-PL"/>
          <w14:ligatures w14:val="none"/>
        </w:rPr>
        <w:t xml:space="preserve">, to znaczy w szwalni pracowali w tym sensie, czyli też mieli obowiązki i chłopcy, i dziewczynki. Musiały być też różnorodne, tak, żeby każde dziecko miało szansę przejść przez różne etapy życia w domu, żeby je poznać, ale żeby też zrozumieć, jak wygląda funkcjonowanie samodzielne. Bo to wychowywanie, w tym sensie wychowywanie przez pracę nie oznaczało darmowej pracy, służby czy wykorzystywania dzieci, ale włączenia ich w takie odpowiedzialne bycie częścią wspólnoty. </w:t>
      </w:r>
    </w:p>
    <w:p w14:paraId="0BBCC707"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[Mikołaj Grynberg] Skąd ta myśl się wzięła? Dlaczego nikt inny tego naokoło nie wymyślił, a oni… Skąd ten pomysł w ogóle, żeby dzieciom dać taką niezależność, podmiotowość, żeby ich traktować jak ludzi?</w:t>
      </w:r>
    </w:p>
    <w:p w14:paraId="642C083F"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Na pewno i studia Stefani Wilczyńskiej, ona studiowała w Belgii i w Szwajcarii, czyli jak na tamte czasy dostała naprawdę świetne międzynarodowe wykształcenie. I studia, i doświadczenie już pedagogiczne Janusza Korczaka zdobywane i w Anglii, i podczas studiowania pism chociażby Marii Montessori. To były takie miejsca czy takie zasoby, z których oni korzystali, będąc też, taki był moment w historii koniec XIX – początek XX wieku, częścią ruchu modernistycznego, również w socjologii, czy w psychologii, psychiatrii, pedagogice, które to coraz bardziej akcentowały tę podmiotowość w różnych jej wymiarach. I na pewno, jeśli dobrze pamiętam, bo od mojej pracy nad książką chwila już minęła, to to podejście Korczaka, które zakładało, że nie można młodych ludzi, nawet tak młodych jak siedmio- czy ośmiolatki, traktować jako pensjonariuszy, on przywiózł z podpatrywania takiej małej placówki też sierocińca w Anglii. I to, co jemu się tam spodobało i co też w jednym z pism podkreślał, co przecież wiemy dzisiaj już właśnie bogatsi o narzędzia i o większą wiedzę po prostu, jeżeli chodzi o psychologię, pedagogikę, ale też na przykład resocjalizację, no to takie założenie, że nie można osoby, która się w takiej placówce znajduje, traktować jako klienta, odbierać jej sprawczość, no bo wtedy będziemy tylko tę bierność hodować. A też dostrzeżenie, że młode osoby, które trafiają do tej placówki z ulicy, no bo też było sporo takich dzieci, które naprawdę nie miały doświadczenia życia w domu z dachem albo w domu, w którym wiadomo będzie, czy pewne jest to, że codziennie można coś zjeść i włączanie je w świat, w którym nagle dostają wszystko i nie mają żadnych obowiązków, no też w długiej perspektywie nie wzmacnia ich tak, żeby potem po wyjściu z placówki sobie radzili. I wiemy to do dzisiaj i niestety to jest właśnie ten smutny PS do mojej książki, że na poziomie naszego państwa dzisiaj w 2025 roku, w tym zakresie to się nie bardzo zmieniło, bo my wciąż traktujemy osoby, które wychodzą z pieczy zastępczej, z domów dziecka czy z rodzin zastępczych, trochę tak jak w czasach </w:t>
      </w:r>
      <w:proofErr w:type="spellStart"/>
      <w:r w:rsidRPr="00202B93">
        <w:rPr>
          <w:rFonts w:eastAsia="Calibri" w:cs="Calibri"/>
          <w:bCs/>
          <w:kern w:val="0"/>
          <w:lang w:eastAsia="pl-PL"/>
          <w14:ligatures w14:val="none"/>
        </w:rPr>
        <w:t>przedkorczakowych</w:t>
      </w:r>
      <w:proofErr w:type="spellEnd"/>
      <w:r w:rsidRPr="00202B93">
        <w:rPr>
          <w:rFonts w:eastAsia="Calibri" w:cs="Calibri"/>
          <w:bCs/>
          <w:kern w:val="0"/>
          <w:lang w:eastAsia="pl-PL"/>
          <w14:ligatures w14:val="none"/>
        </w:rPr>
        <w:t xml:space="preserve">. To znaczy bardzo dużo im się oferuje, po czym kończy się piecza i oni wychodzą no nie mówię, że zupełnie nie sprawczy, ale bez takiego wzmocnienia we własnej podmiotowości, bez jakiegoś większego wsparcia systemowego, czy finansowego również. </w:t>
      </w:r>
    </w:p>
    <w:p w14:paraId="08453547"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To wsparcie nie wygasa stopniowo, tylko się kończy gwałtownie? </w:t>
      </w:r>
    </w:p>
    <w:p w14:paraId="621996D8"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Się kończy po prostu i trochę się dziwimy, że potem, jeśli dobrze pamiętam, osiemdziesiąt kilka, nie pamiętam ile dokładnie, ale ponad osiemdziesiąt procent osób, które były w pieczy zastępczej przez więcej niż pięć lat swojego życia, wracają potem do systemu. Czyli albo są klientami opieki społecznej… </w:t>
      </w:r>
    </w:p>
    <w:p w14:paraId="0ABCC333"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Czyli są niewydolni. </w:t>
      </w:r>
    </w:p>
    <w:p w14:paraId="06993021"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Tak. Albo trafiają do więzienia czy do zakładu poprawczego. I myślę, z tego, co nam już Korczak i Wilczyńska w praktyce pokazali w latach 20. i 30., no 80 lat minęło i nie bardzo wyciągamy wnioski. To myślę, że panią Stefę by wkurzało, bo ona bardzo nie lubiła takiej krótkowzroczności, głupoty i niewyciągania wniosków z zachowania. </w:t>
      </w:r>
    </w:p>
    <w:p w14:paraId="3DD82918"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A co wiemy o tej pracy? Z czym im najgorzej szło? Z czym oni sobie nie radzili? </w:t>
      </w:r>
    </w:p>
    <w:p w14:paraId="28AD6605"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Z tym wszystkim, co było poza murami Krochmalnej, bo o ile, i to nie jest tak, że ten dom funkcjonował bez zarzutu, no bo musimy pamiętać, że to była placówka, w której ponad setka dzieci z bardzo trudnych sytuacji przychodziła. I też miały różne kryzysy psychiczne, traumy, sprawy, które wniosły, ten bagaż, który wniosły. I ten dom radził sobie jak na masową placówkę na tyle, na ile umiał i na ile mógł. Więc nie mówię, że tam wszystko było idealnie, wszystko działało i nie było problemów. Niemniej jednak te największe problemy wiązały się z tym, że świat poza murami Krochmalnej nie wyglądał tak, jak w jej murach. Zresztą potem byli wychowankowie, przychodzili z pretensjami do Stefanii Wilczyńskiej, która zorganizowała taki klub absolwentów, powiedzmy. Taką też kolejną wspólnotę we wspólnocie, której celem było pozostawanie w kontakcie z tymi, którzy właśnie opuszczają dom sierot, pomoc im na tyle, na ile to jest możliwe. No i oni w ramach tego klubu absolwenta przychodzili i mieli pretensje, że wy nam mówiliście, że jak człowiek pracuje, to będzie traktowany fair. Wy nam mówiliście, że równość, że właśnie mamy równe prawa, że mamy prawo do szacunku, że nikt nas nie powinien wykorzystywać, a wychodzimy za róg i dostajemy kamieniem w głowę i krzyczą na nas Żydek, a jest też, mówimy na przykład o końcówce lat 20, wielki kryzys i mimo że uczciwie pracujemy, to wyrzucają nas z pracy na bruk. No i o co chodzi z tym światem? Przecież nie jest tak, jak wy mówicie. I te pretensje, one na pewno w Stefanii Wilczyńskiej wywołały taką autorefleksję właśnie w latach trzydziestych, czy oni na pewno robią wszystko dobrze. To znaczy, czy może jednak ten model jest zbyt utopijny, mało koresponduje z tym, jaka jest rzeczywistość, może powinniśmy coś zmienić, może powinniśmy ich bardziej przygotować na to, że tak, my wam dajemy pewien zestaw wartości, uważamy, że one są, że takimi powinna się kierować… powinna według takich wartości wyglądać rzeczywistość, ale nie wygląda. I ona się na pewno nad tym bardzo głęboko zastanawiała właśnie pod koniec lat trzydziestych, obserwując kolejne pokolenia, które wychodzą z domu sierot. Świat, który nie do końca odpowiada temu, w co ona i Korczak wierzyli i te jej wątpliwości, czy robią dobrze. I też doświadczenie po już ponad wtedy 20 latach prowadzenia placówki, też ją skierowało w takie rejony znowu bardzo współczesnej refleksji, czyli czy nie lepsze dla dziecka są takie ośrodki, ogniska domowe, takie rodzinne domy dziecka, a nie większe placówki. I ona pod koniec życia, już kiedy była w Palestynie, to zapisała w takim kibucowym, w gazetce kibucowej swoje refleksje i tam właśnie przyznaje, że chyba warto już odejść od tych dużych grup, skupić się na mniejszych, żeby temu dziecku jednak poświęcić dużo więcej uwagi i wtedy pracować wychowawczo bardziej indywidualnie, bo te metody zbiorowe na te czasy się chyba już nie sprawdzają. </w:t>
      </w:r>
    </w:p>
    <w:p w14:paraId="1F2FA1AA"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A powiedz mi jeszcze, bo te dzieci, które tam były, one wszystkie mówiły po polsku? Czy tam funkcjonowały dwa języki wewnątrz? </w:t>
      </w:r>
    </w:p>
    <w:p w14:paraId="0159B40E"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Funkcjonowały nawet trzy i cztery czasami, bo zdarzały się dzieci, które mówiły po rosyjsku jeszcze, no bo początki tego przytuliska na Franciszkańskiej to czasy Królestwa Polskiego jeszcze, więc były dzieci, które mówiły taką mieszanką jidyszowo-rosyjsko-polskiego. Były dzieci w latach trzydziestych, w drugiej połowie lat trzydziestych, które dotarły z Niemiec. Była taka grupa sierot niemieckich po 1933 roku, które właśnie mówiły językiem niemieckim. Stefania Wilczyńska też w jednym z listów pisała o tym, że ona się uczy jidysz, bo jest tyle dzieci, a ona nie zna tego języka, więc… </w:t>
      </w:r>
    </w:p>
    <w:p w14:paraId="695D2086"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Czyli ona wyszła z zasymilowanego domu, gdzie nie mówiło się jidysz? </w:t>
      </w:r>
    </w:p>
    <w:p w14:paraId="34B5B1AA"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Nie, ona mówiła po francusku, po rosyjsku oczywiście i po polsku, i potem, kiedy się uczyła hebrajskiego, to też narzekała, że nie ma głowy do języków i tak samo jej ten hebrajski nie wchodzi jak jidysz, bo się nigdy nie uczyła niemieckiego, tylko francuskiego, więc jest jej trudno. Więc ta mieszanka językowa była bardzo duża i też właśnie środowiska, z których przychodziły te dzieci były bardzo różne. Były dzieci miejskie, były też dzieci wiejskie. Były te dzieci właśnie w latach 30., które przyjechały z zachodu, z dużych miast niemieckich. Były dzieci, które się wychowywały zupełnie na ulicy, sieroty biologiczne. Były dzieci, które miały rodziny i które raz na jakiś czas miały spotkania z rodzicami, z rodzinami. I to właśnie teraz mi się przypomniało, że kiedy pytałeś o to, z czym sobie nie radzili, no to bardzo były trudne te momenty, kiedy po dniu w rodzinie dziecko wracało do domu sierot. Albo odwrotnie, kiedy dzieci nie chciały wracać do swoich rodzin, bo na przykład był tam braciszek i siostrzyczka, więc one przychodziły z tego lepszego świata do domu, w którym czuły, że ich rodzeństwo nie miało tyle szczęścia, więc nie chcieli wracać. I to też zarządzanie tymi emocjami na styku dzieci i rodziny, to było coś, co było na pewno bardzo trudne dla Stefani Wilczyńskiej. I ona też nie zawsze, co przyznawała, dobrze sobie z tym radziła. I </w:t>
      </w:r>
      <w:proofErr w:type="spellStart"/>
      <w:r w:rsidRPr="00202B93">
        <w:rPr>
          <w:rFonts w:eastAsia="Calibri" w:cs="Calibri"/>
          <w:bCs/>
          <w:kern w:val="0"/>
          <w:lang w:eastAsia="pl-PL"/>
          <w14:ligatures w14:val="none"/>
        </w:rPr>
        <w:t>Shlomo</w:t>
      </w:r>
      <w:proofErr w:type="spellEnd"/>
      <w:r w:rsidRPr="00202B93">
        <w:rPr>
          <w:rFonts w:eastAsia="Calibri" w:cs="Calibri"/>
          <w:bCs/>
          <w:kern w:val="0"/>
          <w:lang w:eastAsia="pl-PL"/>
          <w14:ligatures w14:val="none"/>
        </w:rPr>
        <w:t xml:space="preserve"> </w:t>
      </w:r>
      <w:proofErr w:type="spellStart"/>
      <w:r w:rsidRPr="00202B93">
        <w:rPr>
          <w:rFonts w:eastAsia="Calibri" w:cs="Calibri"/>
          <w:bCs/>
          <w:kern w:val="0"/>
          <w:lang w:eastAsia="pl-PL"/>
          <w14:ligatures w14:val="none"/>
        </w:rPr>
        <w:t>Nadel</w:t>
      </w:r>
      <w:proofErr w:type="spellEnd"/>
      <w:r w:rsidRPr="00202B93">
        <w:rPr>
          <w:rFonts w:eastAsia="Calibri" w:cs="Calibri"/>
          <w:bCs/>
          <w:kern w:val="0"/>
          <w:lang w:eastAsia="pl-PL"/>
          <w14:ligatures w14:val="none"/>
        </w:rPr>
        <w:t xml:space="preserve">, który był moim przyjacielem, chyba mogę tak powiedzieć, bohaterem tej książki też, wychowankiem domu sierot, on opowiadał taką historię, w której Stefania Wilczyńska była negatywną bohaterką, dlatego że on tak to wspominał, przepędziła jego ciocię, która kiedyś przyjechała spod Grójca albo Góry Kalwarii, żeby go odwiedzić. I Stefania Wilczyńska nie pozwoliła na te odwiedziny, bo to była środa, a nie sobota czy niedziela, kiedy był dzień wizyt. I on bardzo był niezadowolony i mówił, że bardzo go nie sprawie…, że ta ciocia, że to była taka wyprawa i że on nie rozumiał tej decyzji. A z kolei punkt widzenia, wersja Stefani Wilczyńskiej gdzieś zapisana była taka, że jeżeli zrobiłaby ten jeden wyjątek, to dlaczego nie kolejny i kolejny, i kolejny. I myślę, że takie zarządzanie, indywidualne potrzeby versus dobro ogółu i zasady, które skoro umawialiśmy się, że są równe dla wszystkich, to nie mogą być naginane, to chyba to było tak na tyle, na ile Stefania Wilczyńska w ogóle się dzieliła swoimi dywagacjami o tym, czy coś robi dobrze, jakimiś takimi rachunkami sumienia, no to to na pewno się wybijało. Ten taki, nierównowaga między indywidualnym podejściem, a dobrem ogółu. </w:t>
      </w:r>
    </w:p>
    <w:p w14:paraId="396D84CD"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Wiemy jaką ona była osobą?  To była taka miła pani, która tam chodziła i przytulała te dzieci? Czy ona była… Jaka była właśnie, surowa? Czuli przed nią respekt? </w:t>
      </w:r>
    </w:p>
    <w:p w14:paraId="398C6F3C"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Tak, na pewno była surowa. Myślę, że pierwsze słowo, które by mi przyszło do głowy, to jest wymagająca. Wymagała od siebie bardzo wiele, ale wymagała też wiele od innych. Była bardzo odpowiedzialna, była systematyczna, ale była też, to bardzo było ciekawe śledzić list dorosłych już wychowanków, którzy do niej pisali z całego świata, bo w różnych miejscach na Ziemi się znajdowali. I pisali do niej właśnie już na przykład na takim etapie życia, kiedy sami zostawali rodzicami. I pisali w tych listach, że dopiero teraz rozumieją, dlaczego ona była taka albo taka. I też jej dziękowali za to, jaka była i za to, co im dała, bo pisali, że to im naprawdę zostało na życie. I myślę sobie, że ona była taką wychowawczynią przez duże „W”, która tego we wspomnieniach wychowanków nie ma, nie była taką ciepłą, czułą ciocią, babcią do przytulania. Natomiast była taką osobą, do której rad, czy do której się w ogóle zwracano po radę, do której się przychodziło z problemem, nawet już właśnie w dorosłości, której to, co się od niej dostało, można było docenić później. Bo na co dzień była tą osobą, która wymaga, sprawdza, jest tym złym policjantem. Podczas gdy Korczak, który nie uczestniczył w takiej </w:t>
      </w:r>
      <w:proofErr w:type="spellStart"/>
      <w:r w:rsidRPr="00202B93">
        <w:rPr>
          <w:rFonts w:eastAsia="Calibri" w:cs="Calibri"/>
          <w:bCs/>
          <w:kern w:val="0"/>
          <w:lang w:eastAsia="pl-PL"/>
          <w14:ligatures w14:val="none"/>
        </w:rPr>
        <w:t>bieżączce</w:t>
      </w:r>
      <w:proofErr w:type="spellEnd"/>
      <w:r w:rsidRPr="00202B93">
        <w:rPr>
          <w:rFonts w:eastAsia="Calibri" w:cs="Calibri"/>
          <w:bCs/>
          <w:kern w:val="0"/>
          <w:lang w:eastAsia="pl-PL"/>
          <w14:ligatures w14:val="none"/>
        </w:rPr>
        <w:t xml:space="preserve"> życia domowego, on też był lekarzem, czynnym autorem, popularną osobą. On bywał. W związku z czym jego obecność dzieci bardzo ceniły, bo to było takie święto, że doktor przychodzi i spędza z nami czas. </w:t>
      </w:r>
    </w:p>
    <w:p w14:paraId="5B942491"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Niedzielny czas. </w:t>
      </w:r>
    </w:p>
    <w:p w14:paraId="5D4BAB5C"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Tak. Po czym idzie na swój strych, zamyka się i pisze. I też ma zawsze cukierki w kieszeni, bawi się i jest przez chwilę i to jest ważne. I są takie momenty, kiedy jest nie przez chwilę, tylko w większym wymiarze. Niemniej jednak od tego właśnie, żeby sprawdzić, czy w szkole wszystko dobrze, czy dziecko jest, jak się czuje, czy zostały podane leki, jak jest chore. Od tego wszystkiego, tej niewidzialnej pracy codziennej, była Stefania Wilczyńska. Chociaż zachowały się też takie wspomnienia, że ktoś pisał w takiej księdze wspomnieniowej powojennej, po spotkaniach wychowanków takie wspomnienie się pojawiło, że właśnie na co dzień to nie pamięta, żeby kiedykolwiek przytuliła, ale jak był chory i tam w gorąco otworzył oczy, no to pani Stefa siedziała nad i jeszcze tam przykrywała kołderką, żeby się upewnić, że wszystko jest dobrze. I też właśnie </w:t>
      </w:r>
      <w:proofErr w:type="spellStart"/>
      <w:r w:rsidRPr="00202B93">
        <w:rPr>
          <w:rFonts w:eastAsia="Calibri" w:cs="Calibri"/>
          <w:bCs/>
          <w:kern w:val="0"/>
          <w:lang w:eastAsia="pl-PL"/>
          <w14:ligatures w14:val="none"/>
        </w:rPr>
        <w:t>Jicchak</w:t>
      </w:r>
      <w:proofErr w:type="spellEnd"/>
      <w:r w:rsidRPr="00202B93">
        <w:rPr>
          <w:rFonts w:eastAsia="Calibri" w:cs="Calibri"/>
          <w:bCs/>
          <w:kern w:val="0"/>
          <w:lang w:eastAsia="pl-PL"/>
          <w14:ligatures w14:val="none"/>
        </w:rPr>
        <w:t xml:space="preserve"> Belfer, który w czasie wojny uciekł na wschód, potem mieszkał w Palestynie, późniejszym Izraelu, był malarzem, też mi opowiadał o tym, że bardzo doceniał to, że mimo że tych dzieci było ponad setka, to Wilczyńska pamiętała o takich indywidualnych cechach. I kiedy kiedyś go zastała w jej kantorku, gdzieś tam sobie siedział i coś rysował, to się na niego nie zezłościła, że co ty tutaj robisz w moich papierach, tylko powiedziała, że jak lubisz rysować, raz na jakiś czas możesz sobie tutaj przyjść i nikt ci tam nie będzie zaglądał w to, co ty sobie rysujesz i będziesz miał taką przestrzeń dla siebie. No bo to był duży dom, w którym sypialnie były wspólne. Każde dziecko miało taką swoją kasetkę, żeby mieć taką przestrzeń prywatności. I o to dbano jeszcze nawet w getcie. Natomiast na co dzień była to placówka masowa, w której o taki kąt dla siebie było trudno. I on pamiętał, właśnie już opowiadał mi to, jako 80-latek, ponad 80-letni mężczyzna, że on bardzo doceniał to, że ona mu nie powiedziała, żeby jej pokazał, co on tam rysuje. Tylko, że może sobie rysować i może sobie przez chwilę tutaj sam ze sobą pobyć. </w:t>
      </w:r>
    </w:p>
    <w:p w14:paraId="3AF9DCB6"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Powiedziałaś chwilę temu, że ona pod koniec życia była w Palestynie. To brzmi tak jakby była tą szczęściarą, której się udało przeżyć. Ale ta opowieść o końcu domu sierot na Krochmalnej jest inna i o niej, prawda, i o Korczaku. </w:t>
      </w:r>
    </w:p>
    <w:p w14:paraId="1E95085D"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Ona wyjeżdżała kilka razy do Palestyny w latach 30-tych, kiedy właśnie już miała taki trochę, mogę sobie to dzisiaj nazwać kryzysem, wypaleniem, etap zmęczenia, też taką codzienną, bardzo ciężką pracą. To było 30 lat pracy wychowawczej, pracy w warunkach I wojny światowej, wojny 1920 roku. Podczas obu tych wojen Korczaka nie było, bo walczył, a ona była na posterunku. Potem były warunki kryzysu ekonomicznego, antysemityzm, który między innymi, tak jak mówiłam, na ten finansowy aspekt się przekładał. No i lata 30-te, im dalej w lata 30-te, tym też politycznie trudniej. I ona też w tamtym momencie szukała chyba trochę innego pomysłu na swoje życie. Również dlatego, że dom sierot działał. Były kolejne pokolenia już wdrażane do tego, żeby tę placówkę współprowadzić. I ona wyjeżdżała do Palestyny, gdzie też w latach 20-tych jeszcze wyemigrowała jej przyjaciółka. Założyła tam rodzinę, pracowała, mieszkała, współtworzyła kibuc. Dzisiaj to jest północ Izraela. I Stefania Wilczyńska tam jeździła. Korczak zresztą też do tego kibucu pojechał. I trochę myślę, że z taką nadzieją ona tam jechała, że to będzie to miejsce. Też taka była opowieść kibucowa i syjonistyczna, że to będzie to miejsce, gdzie Żydzi będą u siebie, gdzie będą mogli żyć w warunkach, które współtworzą i na które mają wpływ. Co też w duszności antysemickiej Polski końca lat 30-tych było bardzo atrakcyjną perspektywą. I ona też bardzo wierzyła całe życie w takie wspólnotowe działania, więc ruch kibucowy to też było dla niej bardzo ciekawe miejsce. I ona pojechała, żeby zobaczyć jak to w praktyce wygląda. I nie do końca się tam odnalazła, bo była dużo starsza od większości kibucników. Tam jechali jednak ludzie 20-30 letni, ona była po 50-ce, co akurat w tamtej perspektywie ją bardzo izolowało od tego głównego ruchu. Ona też jako, że przez 20-30 lat żyła we wspólnocie, która ma utopijne cele, widziała też różne ciemne strony tego modelu. </w:t>
      </w:r>
    </w:p>
    <w:p w14:paraId="566E8DE2"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Uważasz, że to była utopijna teoria? </w:t>
      </w:r>
    </w:p>
    <w:p w14:paraId="6A45F67C"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Myślę, że była nie do zrealizowania w szerszym aspekcie. Ale jako cel i jako taki horyzont do którego warto zmierzać, była piękną opowieścią. I myślę sobie, że no właśnie im dalej w dekady XX wieku, tym bardziej też Stefania Wilczyńska rozumiała, jak bardzo to co oni proponują, różni się od tego co jest dookoła. I ona się też zastanawiała czy jechać do kibucu, czy jechać na przykład do Związku Radzieckiego. Bo w teorii znowuż to co Związek Radziecki wtedy proponował w latach 30-tych, no to też była utopia. Też była wspólnota, równość i sprawiedliwość. Atrakcyjna oferta, zwłaszcza dla grup mniejszościowych i prześladowanych. Myślę, że jednak z powodów towarzyskich bardziej niż ideowych, bo ona nie była syjonistką, wybrała kibuc. I tam też zobaczyła, że o ile to wspólnotowe działanie w tamtych warunkach, w tamtym momencie daje bardzo dobre efekty, to też jeżeli chodzi o podejście kibucowe do wychowania dzieci, nie do końca uważała, że to jest dobry model. Bo on znowu zakładał wyciąganie dziecka z rodziny. Świetnie opisane w książce „Byliśmy przyszłością”, ze wspaniałym tytułem. I tak, upodmiotowienie i bardzo duża sprawczość, ale jednak w oderwaniu od więzów rodzinnych, od emocji, od ciepła rodzinnego. To jej się nie do końca podobało i ona też zabierała głos na forum kibucowym. I kiedy zabierała ten głos, to bardzo została skrytykowana jako właśnie osoba, która przyjeżdża z dalekiego, antysemickiego kraju, ma przestarzałe metody i się wymądrza. I się właśnie tutaj wściubia nos w nieswoje sprawy. I dopiero po latach przyznano, że rzeczywiście pewne rzeczy, które ona wtedy postulowała, wprowadzono, bo się okazało z biegiem lat, że miała słuszność. Natomiast to też jest tak, że wtedy Palestyna nie była odcięta od Europy i do niej w latach w 38, 39 roku docierały informacje o tym, co się dzieje w Europie. I myślę sobie, że takie poczucie obowiązku i też świadomość, że ona będzie potrzebna. Jej wiedza i umiejętności, przeżyła już niejedną wojnę i trudne warunki, lepiej się sprawdzą w domu sierot i w maju 39 roku wróciła do Warszawy. Potem jeszcze w 40 roku </w:t>
      </w:r>
      <w:proofErr w:type="spellStart"/>
      <w:r w:rsidRPr="00202B93">
        <w:rPr>
          <w:rFonts w:eastAsia="Calibri" w:cs="Calibri"/>
          <w:bCs/>
          <w:kern w:val="0"/>
          <w:lang w:eastAsia="pl-PL"/>
          <w14:ligatures w14:val="none"/>
        </w:rPr>
        <w:t>Fejga</w:t>
      </w:r>
      <w:proofErr w:type="spellEnd"/>
      <w:r w:rsidRPr="00202B93">
        <w:rPr>
          <w:rFonts w:eastAsia="Calibri" w:cs="Calibri"/>
          <w:bCs/>
          <w:kern w:val="0"/>
          <w:lang w:eastAsia="pl-PL"/>
          <w14:ligatures w14:val="none"/>
        </w:rPr>
        <w:t xml:space="preserve"> </w:t>
      </w:r>
      <w:proofErr w:type="spellStart"/>
      <w:r w:rsidRPr="00202B93">
        <w:rPr>
          <w:rFonts w:eastAsia="Calibri" w:cs="Calibri"/>
          <w:bCs/>
          <w:kern w:val="0"/>
          <w:lang w:eastAsia="pl-PL"/>
          <w14:ligatures w14:val="none"/>
        </w:rPr>
        <w:t>Lifszyc</w:t>
      </w:r>
      <w:proofErr w:type="spellEnd"/>
      <w:r w:rsidRPr="00202B93">
        <w:rPr>
          <w:rFonts w:eastAsia="Calibri" w:cs="Calibri"/>
          <w:bCs/>
          <w:kern w:val="0"/>
          <w:lang w:eastAsia="pl-PL"/>
          <w14:ligatures w14:val="none"/>
        </w:rPr>
        <w:t xml:space="preserve">, jej przyjaciółka, przez Czerwony Krzyż próbowała ją ściągnąć. I pani Stefa odpisała, ta kartka się zachowała w archiwum kibucowym, że przyjadę, ale tylko z dziećmi. Jeżeli to będzie możliwe, żeby zabrać dzieci, co wiemy możliwe nie było. I kiedy zamknięto getto, to Krochmalna, ten odcinek Krochmalnej znalazł się poza jego granicami, więc dom sierot przeniósł się na Chłodną. Potem, kiedy znowu się zmieniły granice, przeniósł się na Sienną, Śliską, czyli na to miejsce, gdzie dzisiaj jest teatr dla dzieci w Pałacu Kultury. I stamtąd 5 albo 6 sierpnia 42 roku dzieci z tej, ale też z innych placówek wychowawczo-opiekuńczych zostały wyprowadzone na </w:t>
      </w:r>
      <w:proofErr w:type="spellStart"/>
      <w:r w:rsidRPr="00202B93">
        <w:rPr>
          <w:rFonts w:eastAsia="Calibri" w:cs="Calibri"/>
          <w:bCs/>
          <w:kern w:val="0"/>
          <w:lang w:eastAsia="pl-PL"/>
          <w14:ligatures w14:val="none"/>
        </w:rPr>
        <w:t>Umschlagplatz</w:t>
      </w:r>
      <w:proofErr w:type="spellEnd"/>
      <w:r w:rsidRPr="00202B93">
        <w:rPr>
          <w:rFonts w:eastAsia="Calibri" w:cs="Calibri"/>
          <w:bCs/>
          <w:kern w:val="0"/>
          <w:lang w:eastAsia="pl-PL"/>
          <w14:ligatures w14:val="none"/>
        </w:rPr>
        <w:t xml:space="preserve"> i wywiezione do Treblinki. I Stefania Wilczyńska, Janusz Korczak, wtedy już bardzo schorowany, on już od jakiegoś czasu był w kiepskiej, w złej formie fizycznej, ale ta sytuacja wywózki, wielkiej akcji deportacyjnej, myślę, że no była takim już ostatecznym ciosem też w jego fizyczne możliwości i zdrowie. Ale też nie tylko oni, bo nie zachowały się żadne źródła, które by mówiły, że wychowawcy innych domów dziecka, innych placówek wychowawczych, się zachowali inaczej. Wszyscy szli z dziećmi na </w:t>
      </w:r>
      <w:proofErr w:type="spellStart"/>
      <w:r w:rsidRPr="00202B93">
        <w:rPr>
          <w:rFonts w:eastAsia="Calibri" w:cs="Calibri"/>
          <w:bCs/>
          <w:kern w:val="0"/>
          <w:lang w:eastAsia="pl-PL"/>
          <w14:ligatures w14:val="none"/>
        </w:rPr>
        <w:t>Umschlag</w:t>
      </w:r>
      <w:proofErr w:type="spellEnd"/>
      <w:r w:rsidRPr="00202B93">
        <w:rPr>
          <w:rFonts w:eastAsia="Calibri" w:cs="Calibri"/>
          <w:bCs/>
          <w:kern w:val="0"/>
          <w:lang w:eastAsia="pl-PL"/>
          <w14:ligatures w14:val="none"/>
        </w:rPr>
        <w:t xml:space="preserve"> i stamtąd trafili do Treblinki. Właśnie niedawno w jednym z brytyjskich muzeów na wystawie poświęconej Zagładzie znalazłam taką notkę, w której wspomniany jest Janusz Korczak i Stefania Wilczyńska, co mnie ucieszyło, bo ta pamięć o Stefanii Wilczyńskiej… Kiedy wyszła moja książka, dzięki też jej promocji, obecności, ta pamięć się trochę pojawiła. Ale no właśnie już minęło sporo lat i mam wrażenie, tak jak ty powiedziałaś na początku, już nie tylko o Stefanii Wilczyńskiej, ale też o Korczaku się nie pamięta. No więc oni w tej notce się pojawiają oboje. Natomiast jest to też notka, która mówi o… opowiada taką bardziej zmitologizowaną, bardzo popularną opowieść o tym, jak wyglądały te ostatnie godziny życia Janusza Korczaka. O tym, że on prowadził pochód, że dzieci były odświętnie ubrane, że śpiewały, że on najmłodsze niósł na rękach. No wiemy to ze źródeł historycznych, że jest to scena zupełnie niemożliwa, że tam nie było czasu na odświętne ubieranie. Wszystko działo się w pośpiechu, dzieci były szczute psami, poganiane, pędzone na </w:t>
      </w:r>
      <w:proofErr w:type="spellStart"/>
      <w:r w:rsidRPr="00202B93">
        <w:rPr>
          <w:rFonts w:eastAsia="Calibri" w:cs="Calibri"/>
          <w:bCs/>
          <w:kern w:val="0"/>
          <w:lang w:eastAsia="pl-PL"/>
          <w14:ligatures w14:val="none"/>
        </w:rPr>
        <w:t>Umschlag</w:t>
      </w:r>
      <w:proofErr w:type="spellEnd"/>
      <w:r w:rsidRPr="00202B93">
        <w:rPr>
          <w:rFonts w:eastAsia="Calibri" w:cs="Calibri"/>
          <w:bCs/>
          <w:kern w:val="0"/>
          <w:lang w:eastAsia="pl-PL"/>
          <w14:ligatures w14:val="none"/>
        </w:rPr>
        <w:t xml:space="preserve"> właśnie w takich warunkach, jak większość ludzi wywożonych w wielkiej akcji deportacyjnej. Janusz Korczak też nie byłby w stanie unieść dziecka na swoich ramionach. Jeżeli w ogóle przeżył tę drogę w wagonie do Treblinki, to najprawdopodobniej, tak jak inne starsze osoby i najmłodsze dzieci, nie zginął w komorze gazowej, tylko w takim wielkim dole z wiecznym ogniem, jak to nazywali esesmani, czyli tuż po wyprowadzeniu z wagonu został uśmiercony. Ja o tym mówię też dlatego, że wydaje mi się, że heroiczne było całe życie i Korczaka, i Wilczyńskiej poświęcone dziecku i służbie wychowawczej. I to, że poszli na </w:t>
      </w:r>
      <w:proofErr w:type="spellStart"/>
      <w:r w:rsidRPr="00202B93">
        <w:rPr>
          <w:rFonts w:eastAsia="Calibri" w:cs="Calibri"/>
          <w:bCs/>
          <w:kern w:val="0"/>
          <w:lang w:eastAsia="pl-PL"/>
          <w14:ligatures w14:val="none"/>
        </w:rPr>
        <w:t>Umschlag</w:t>
      </w:r>
      <w:proofErr w:type="spellEnd"/>
      <w:r w:rsidRPr="00202B93">
        <w:rPr>
          <w:rFonts w:eastAsia="Calibri" w:cs="Calibri"/>
          <w:bCs/>
          <w:kern w:val="0"/>
          <w:lang w:eastAsia="pl-PL"/>
          <w14:ligatures w14:val="none"/>
        </w:rPr>
        <w:t xml:space="preserve"> tak jak właśnie inni wychowawcy, wychowawczynie, intendenci, sprzątaczki, jest taka we wspomnieniach pani </w:t>
      </w:r>
      <w:proofErr w:type="spellStart"/>
      <w:r w:rsidRPr="00202B93">
        <w:rPr>
          <w:rFonts w:eastAsia="Calibri" w:cs="Calibri"/>
          <w:bCs/>
          <w:kern w:val="0"/>
          <w:lang w:eastAsia="pl-PL"/>
          <w14:ligatures w14:val="none"/>
        </w:rPr>
        <w:t>Broniatowska</w:t>
      </w:r>
      <w:proofErr w:type="spellEnd"/>
      <w:r w:rsidRPr="00202B93">
        <w:rPr>
          <w:rFonts w:eastAsia="Calibri" w:cs="Calibri"/>
          <w:bCs/>
          <w:kern w:val="0"/>
          <w:lang w:eastAsia="pl-PL"/>
          <w14:ligatures w14:val="none"/>
        </w:rPr>
        <w:t xml:space="preserve">, o której nie wiadomo jak miała na imię, która byłą, jeśli dobrze pamiętam, intendentką jednego z sierocińców, która też poszła na </w:t>
      </w:r>
      <w:proofErr w:type="spellStart"/>
      <w:r w:rsidRPr="00202B93">
        <w:rPr>
          <w:rFonts w:eastAsia="Calibri" w:cs="Calibri"/>
          <w:bCs/>
          <w:kern w:val="0"/>
          <w:lang w:eastAsia="pl-PL"/>
          <w14:ligatures w14:val="none"/>
        </w:rPr>
        <w:t>Umschlag</w:t>
      </w:r>
      <w:proofErr w:type="spellEnd"/>
      <w:r w:rsidRPr="00202B93">
        <w:rPr>
          <w:rFonts w:eastAsia="Calibri" w:cs="Calibri"/>
          <w:bCs/>
          <w:kern w:val="0"/>
          <w:lang w:eastAsia="pl-PL"/>
          <w14:ligatures w14:val="none"/>
        </w:rPr>
        <w:t xml:space="preserve">. To jest wystarczająco, to jest oczywiście w cudzysłowie to wystarczająco, heroiczne życie, że nie trzeba jeszcze tej puenty podkreślać tą mityczną opowieścią, tym obrazkiem, o tym też pisałam w książce. Ja rozumiem skąd ta potrzeba, żeby zobaczyć ten pochód jako pochód dzieci, które być może nie mają świadomości dokąd trafią i które mają jakiś większy obszar godności przez te odświętne ubrania i śpiewanie piosenki. No niemniej jednak to nie jest zgodne z prawdą historyczną i wydaje mi się, że też niepotrzebne. No bo samo to, co i jak robili przez całe życie, zasługuje na szacunek, którego mnie przynajmniej się wydaje, nie trzeba </w:t>
      </w:r>
      <w:proofErr w:type="spellStart"/>
      <w:r w:rsidRPr="00202B93">
        <w:rPr>
          <w:rFonts w:eastAsia="Calibri" w:cs="Calibri"/>
          <w:bCs/>
          <w:kern w:val="0"/>
          <w:lang w:eastAsia="pl-PL"/>
          <w14:ligatures w14:val="none"/>
        </w:rPr>
        <w:t>podkoloryzowywać</w:t>
      </w:r>
      <w:proofErr w:type="spellEnd"/>
      <w:r w:rsidRPr="00202B93">
        <w:rPr>
          <w:rFonts w:eastAsia="Calibri" w:cs="Calibri"/>
          <w:bCs/>
          <w:kern w:val="0"/>
          <w:lang w:eastAsia="pl-PL"/>
          <w14:ligatures w14:val="none"/>
        </w:rPr>
        <w:t xml:space="preserve"> jeszcze. </w:t>
      </w:r>
    </w:p>
    <w:p w14:paraId="190DD5A8"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Powiedz mi na koniec, dlaczego te kilka lat temu, czy nie więcej, kiedy ty napisałaś „Panią Stefę”? </w:t>
      </w:r>
    </w:p>
    <w:p w14:paraId="42CA4301"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Książka wyszła w 2016 roku, wydaje mi się, albo 15. </w:t>
      </w:r>
    </w:p>
    <w:p w14:paraId="6479674F"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Czyli około 10 lat temu. Dlaczego ty wtedy sięgnęłaś po tę postać? </w:t>
      </w:r>
    </w:p>
    <w:p w14:paraId="207D3BC2"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W tym 2012 roku była setna rocznica otwarcia Domu Sierot i 70. rocznica jego zagłady. Wtedy Sejm uhonorował ten rok właśnie jako Rok Korczaka, co zaowocowało wieloma inicjatywami, na przykład nazwaniem pociągu z Białegostoku do </w:t>
      </w:r>
      <w:proofErr w:type="spellStart"/>
      <w:r w:rsidRPr="00202B93">
        <w:rPr>
          <w:rFonts w:eastAsia="Calibri" w:cs="Calibri"/>
          <w:bCs/>
          <w:kern w:val="0"/>
          <w:lang w:eastAsia="pl-PL"/>
          <w14:ligatures w14:val="none"/>
        </w:rPr>
        <w:t>Krakowa-Płaszowa</w:t>
      </w:r>
      <w:proofErr w:type="spellEnd"/>
      <w:r w:rsidRPr="00202B93">
        <w:rPr>
          <w:rFonts w:eastAsia="Calibri" w:cs="Calibri"/>
          <w:bCs/>
          <w:kern w:val="0"/>
          <w:lang w:eastAsia="pl-PL"/>
          <w14:ligatures w14:val="none"/>
        </w:rPr>
        <w:t xml:space="preserve"> Korczak, który chyba Korczak jeszcze jeździ. Już chyba nie jeździ do </w:t>
      </w:r>
      <w:proofErr w:type="spellStart"/>
      <w:r w:rsidRPr="00202B93">
        <w:rPr>
          <w:rFonts w:eastAsia="Calibri" w:cs="Calibri"/>
          <w:bCs/>
          <w:kern w:val="0"/>
          <w:lang w:eastAsia="pl-PL"/>
          <w14:ligatures w14:val="none"/>
        </w:rPr>
        <w:t>Płaszowa</w:t>
      </w:r>
      <w:proofErr w:type="spellEnd"/>
      <w:r w:rsidRPr="00202B93">
        <w:rPr>
          <w:rFonts w:eastAsia="Calibri" w:cs="Calibri"/>
          <w:bCs/>
          <w:kern w:val="0"/>
          <w:lang w:eastAsia="pl-PL"/>
          <w14:ligatures w14:val="none"/>
        </w:rPr>
        <w:t xml:space="preserve">. I nie wiem, czy jeździ z Białegostoku, ale jeśli jeździ z Białegostoku, to dalej w Małkini ten rozjazd na Treblinkę mija Korczak. W każdym razie, no były takie inicjatywy, ale na szczęście były też lepsze inicjatywy. I Fundacja Mojżesza Schorra wtedy zorganizowała takie spotkanie, w którym Grażyna Pawlak, na którym właśnie rzuciła takie hasło, że trzeba też powiedzieć coś o Pani Stefie, bo to jest chyba jedyna okazja, żeby jakoś o nią zawalczyć. I ja wtedy brałam udział w tym spotkaniu i napisałam tekst do Przekroju, z którego potem powstała książka. I ja też miałam takie poczucie, że </w:t>
      </w:r>
      <w:proofErr w:type="spellStart"/>
      <w:r w:rsidRPr="00202B93">
        <w:rPr>
          <w:rFonts w:eastAsia="Calibri" w:cs="Calibri"/>
          <w:bCs/>
          <w:kern w:val="0"/>
          <w:lang w:eastAsia="pl-PL"/>
          <w14:ligatures w14:val="none"/>
        </w:rPr>
        <w:t>herstorycznie</w:t>
      </w:r>
      <w:proofErr w:type="spellEnd"/>
      <w:r w:rsidRPr="00202B93">
        <w:rPr>
          <w:rFonts w:eastAsia="Calibri" w:cs="Calibri"/>
          <w:bCs/>
          <w:kern w:val="0"/>
          <w:lang w:eastAsia="pl-PL"/>
          <w14:ligatures w14:val="none"/>
        </w:rPr>
        <w:t xml:space="preserve"> to był ważny moment, bo dzisiaj też właśnie po tych latach jesteśmy już zupełnie gdzie indziej. Zaraz może znowu się wahadło chyba odwraca, więc zejdziemy z tym do katakumb. Ale ten </w:t>
      </w:r>
      <w:proofErr w:type="spellStart"/>
      <w:r w:rsidRPr="00202B93">
        <w:rPr>
          <w:rFonts w:eastAsia="Calibri" w:cs="Calibri"/>
          <w:bCs/>
          <w:kern w:val="0"/>
          <w:lang w:eastAsia="pl-PL"/>
          <w14:ligatures w14:val="none"/>
        </w:rPr>
        <w:t>herstoryczny</w:t>
      </w:r>
      <w:proofErr w:type="spellEnd"/>
      <w:r w:rsidRPr="00202B93">
        <w:rPr>
          <w:rFonts w:eastAsia="Calibri" w:cs="Calibri"/>
          <w:bCs/>
          <w:kern w:val="0"/>
          <w:lang w:eastAsia="pl-PL"/>
          <w14:ligatures w14:val="none"/>
        </w:rPr>
        <w:t xml:space="preserve"> moment wtedy, mnie się wydaje przynajmniej, że się to wtedy przewalało i zrobiło się trochę miejsca, żeby zacząć mówić o kobietach z cienia, kobietach z drugiego, trzeciego i czwartego rzędu. Żeby je przywracać, nie w takim duchu, że ja teraz coś ujmę Korczakowi i jego legendzie, bo ja tak tej książki nie dostrzegam. Ja ją widziałam jako takie dopowiedzenie, też ubogacenie w ten sposób opowieści o Korczaku, przez pokazanie jego wpływu, czy jego oddziaływania, takiej synergii, która się też zadziała między nim a nią, dzięki czemu w ogóle to dzieło było możliwe. Ja wtedy też miałam takie poczucie, że to jest dobry moment, bo właśnie jeszcze są świadkowie. Oni już wszyscy nie żyją. Kiedy ja przyjechałam do Izraela wtedy w pierwszy raz w 2013 roku do nich, to </w:t>
      </w:r>
      <w:proofErr w:type="spellStart"/>
      <w:r w:rsidRPr="00202B93">
        <w:rPr>
          <w:rFonts w:eastAsia="Calibri" w:cs="Calibri"/>
          <w:bCs/>
          <w:kern w:val="0"/>
          <w:lang w:eastAsia="pl-PL"/>
          <w14:ligatures w14:val="none"/>
        </w:rPr>
        <w:t>Shlomo</w:t>
      </w:r>
      <w:proofErr w:type="spellEnd"/>
      <w:r w:rsidRPr="00202B93">
        <w:rPr>
          <w:rFonts w:eastAsia="Calibri" w:cs="Calibri"/>
          <w:bCs/>
          <w:kern w:val="0"/>
          <w:lang w:eastAsia="pl-PL"/>
          <w14:ligatures w14:val="none"/>
        </w:rPr>
        <w:t xml:space="preserve"> </w:t>
      </w:r>
      <w:proofErr w:type="spellStart"/>
      <w:r w:rsidRPr="00202B93">
        <w:rPr>
          <w:rFonts w:eastAsia="Calibri" w:cs="Calibri"/>
          <w:bCs/>
          <w:kern w:val="0"/>
          <w:lang w:eastAsia="pl-PL"/>
          <w14:ligatures w14:val="none"/>
        </w:rPr>
        <w:t>Nadel</w:t>
      </w:r>
      <w:proofErr w:type="spellEnd"/>
      <w:r w:rsidRPr="00202B93">
        <w:rPr>
          <w:rFonts w:eastAsia="Calibri" w:cs="Calibri"/>
          <w:bCs/>
          <w:kern w:val="0"/>
          <w:lang w:eastAsia="pl-PL"/>
          <w14:ligatures w14:val="none"/>
        </w:rPr>
        <w:t xml:space="preserve">, </w:t>
      </w:r>
      <w:proofErr w:type="spellStart"/>
      <w:r w:rsidRPr="00202B93">
        <w:rPr>
          <w:rFonts w:eastAsia="Calibri" w:cs="Calibri"/>
          <w:bCs/>
          <w:kern w:val="0"/>
          <w:lang w:eastAsia="pl-PL"/>
          <w14:ligatures w14:val="none"/>
        </w:rPr>
        <w:t>Jicchak</w:t>
      </w:r>
      <w:proofErr w:type="spellEnd"/>
      <w:r w:rsidRPr="00202B93">
        <w:rPr>
          <w:rFonts w:eastAsia="Calibri" w:cs="Calibri"/>
          <w:bCs/>
          <w:kern w:val="0"/>
          <w:lang w:eastAsia="pl-PL"/>
          <w14:ligatures w14:val="none"/>
        </w:rPr>
        <w:t xml:space="preserve"> Belfer jeszcze ze mną rozmawiali, mogłam się z nimi spotkać. To był ten ostatni moment, żeby ze świadkami porozmawiać. Z takimi osobami, które znały Stefanię Wilczyńską, które też z kibucu ją pamiętały. I się bardzo cieszę, że się to wtedy wydarzyło, było możliwe. I że też ten moment taki, który ona miała dzięki tej książce i temu, że opowiadałam o niej w różnych miejscach, temu, że w Nowej Soli jest żłobek, który został nazwany, jest właśnie imienia Stefani Wilczyńskiej. W Ursusie jest ulica Stefani Wilczyńskiej. Było parę inicjatyw związanych z upamiętnieniem. Nie wydarzyło się wciąż takie upamiętnienie, które myślę, że samej Stefani Wilczyńskiej by się podobało najbardziej, czyli albo jakiś fundusz stypendialny dla wychowawcy, wychowawczyni, albo przede wszystkim dla młodzieży, która wychodzi z pieczy zastępczej. Myślę, że to byłoby takie upamiętnienie, które by no właśnie, było konkretem, byłoby o pomocy i byłoby bardzo w duchu Stefani Wilczyńskiej. Może się kiedyś wydarzy jeszcze. </w:t>
      </w:r>
    </w:p>
    <w:p w14:paraId="7F6A5731"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Czekamy. </w:t>
      </w:r>
    </w:p>
    <w:p w14:paraId="2D9FEB36"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Dziękuję Magda bardzo za tą książkę, za „Panią Stefę” i za rozmowę. </w:t>
      </w:r>
    </w:p>
    <w:p w14:paraId="6B0F4C8F"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[Magda Kicińska] Dziękuję bardzo. </w:t>
      </w:r>
    </w:p>
    <w:p w14:paraId="44F8F0E7"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[Mikołaj Grynberg] Dziękuję, że byliście z nami w tej rozmowie. Jeśli zaciekawił was ten temat, zajrzyjcie na portal kolekcje.polin.pl. To tam można znaleźć więcej </w:t>
      </w:r>
      <w:proofErr w:type="spellStart"/>
      <w:r w:rsidRPr="00202B93">
        <w:rPr>
          <w:rFonts w:eastAsia="Calibri" w:cs="Calibri"/>
          <w:bCs/>
          <w:kern w:val="0"/>
          <w:lang w:eastAsia="pl-PL"/>
          <w14:ligatures w14:val="none"/>
        </w:rPr>
        <w:t>herstorii</w:t>
      </w:r>
      <w:proofErr w:type="spellEnd"/>
      <w:r w:rsidRPr="00202B93">
        <w:rPr>
          <w:rFonts w:eastAsia="Calibri" w:cs="Calibri"/>
          <w:bCs/>
          <w:kern w:val="0"/>
          <w:lang w:eastAsia="pl-PL"/>
          <w14:ligatures w14:val="none"/>
        </w:rPr>
        <w:t xml:space="preserve">, kobiecych losów zapisanych w zbiorach Muzeum Polin. Subskrybujcie nasz podcast, podzielcie się nim z bliskimi i słuchajcie kolejnych odcinków. </w:t>
      </w:r>
    </w:p>
    <w:p w14:paraId="1D3E9793" w14:textId="77777777" w:rsidR="000B12DD" w:rsidRPr="00202B93" w:rsidRDefault="000B12DD" w:rsidP="00202B93">
      <w:pPr>
        <w:spacing w:line="360" w:lineRule="auto"/>
        <w:rPr>
          <w:rFonts w:eastAsia="Calibri" w:cs="Calibri"/>
          <w:bCs/>
          <w:kern w:val="0"/>
          <w:lang w:eastAsia="pl-PL"/>
          <w14:ligatures w14:val="none"/>
        </w:rPr>
      </w:pPr>
      <w:r w:rsidRPr="00202B93">
        <w:rPr>
          <w:rFonts w:eastAsia="Calibri" w:cs="Calibri"/>
          <w:bCs/>
          <w:kern w:val="0"/>
          <w:lang w:eastAsia="pl-PL"/>
          <w14:ligatures w14:val="none"/>
        </w:rPr>
        <w:t xml:space="preserve">Cykl podcastów Tu Mikołaj Grynberg został przygotowany przez Muzeum POLIN. Wejdź na kolek-cje.polin.pl i sprawdź, co jeszcze kryje się w zbiorach. </w:t>
      </w:r>
    </w:p>
    <w:p w14:paraId="0549AB16" w14:textId="77777777" w:rsidR="000B12DD" w:rsidRPr="00202B93" w:rsidRDefault="000B12DD" w:rsidP="00202B93">
      <w:pPr>
        <w:spacing w:line="360" w:lineRule="auto"/>
        <w:rPr>
          <w:rFonts w:eastAsia="Calibri" w:cs="Calibri"/>
          <w:b/>
          <w:kern w:val="0"/>
          <w:lang w:eastAsia="pl-PL"/>
          <w14:ligatures w14:val="none"/>
        </w:rPr>
      </w:pPr>
    </w:p>
    <w:p w14:paraId="763525CF" w14:textId="77777777" w:rsidR="000B12DD" w:rsidRPr="00202B93" w:rsidRDefault="000B12DD" w:rsidP="00202B93">
      <w:pPr>
        <w:spacing w:line="360" w:lineRule="auto"/>
        <w:rPr>
          <w:rFonts w:eastAsia="Calibri" w:cs="Calibri"/>
          <w:b/>
          <w:kern w:val="0"/>
          <w:lang w:eastAsia="pl-PL"/>
          <w14:ligatures w14:val="none"/>
        </w:rPr>
      </w:pPr>
    </w:p>
    <w:p w14:paraId="747599B3" w14:textId="73618649" w:rsidR="0031417E" w:rsidRPr="00202B93" w:rsidRDefault="0031417E" w:rsidP="00202B93">
      <w:pPr>
        <w:spacing w:line="360" w:lineRule="auto"/>
        <w:rPr>
          <w:rFonts w:eastAsia="Calibri" w:cs="Calibri"/>
          <w:kern w:val="0"/>
          <w:lang w:eastAsia="pl-PL"/>
          <w14:ligatures w14:val="none"/>
        </w:rPr>
      </w:pPr>
    </w:p>
    <w:sectPr w:rsidR="0031417E" w:rsidRPr="00202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B"/>
    <w:rsid w:val="000B12DD"/>
    <w:rsid w:val="001E328D"/>
    <w:rsid w:val="00202B93"/>
    <w:rsid w:val="0026273D"/>
    <w:rsid w:val="0031417E"/>
    <w:rsid w:val="00396C7B"/>
    <w:rsid w:val="003B68DC"/>
    <w:rsid w:val="004C0678"/>
    <w:rsid w:val="004F2F5C"/>
    <w:rsid w:val="007403D6"/>
    <w:rsid w:val="007F2DEB"/>
    <w:rsid w:val="008049AB"/>
    <w:rsid w:val="008C128E"/>
    <w:rsid w:val="00907196"/>
    <w:rsid w:val="009A41E5"/>
    <w:rsid w:val="00B15FB2"/>
    <w:rsid w:val="00B2289C"/>
    <w:rsid w:val="00D62FB9"/>
    <w:rsid w:val="00EB77A1"/>
    <w:rsid w:val="00EC7CE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314A"/>
  <w15:chartTrackingRefBased/>
  <w15:docId w15:val="{338FB17F-A065-4E65-A9D8-576F3722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DEB"/>
    <w:rPr>
      <w:rFonts w:eastAsiaTheme="majorEastAsia" w:cstheme="majorBidi"/>
      <w:color w:val="272727" w:themeColor="text1" w:themeTint="D8"/>
    </w:rPr>
  </w:style>
  <w:style w:type="paragraph" w:styleId="Tytu">
    <w:name w:val="Title"/>
    <w:basedOn w:val="Normalny"/>
    <w:next w:val="Normalny"/>
    <w:link w:val="TytuZnak"/>
    <w:uiPriority w:val="10"/>
    <w:qFormat/>
    <w:rsid w:val="007F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DEB"/>
    <w:rPr>
      <w:i/>
      <w:iCs/>
      <w:color w:val="404040" w:themeColor="text1" w:themeTint="BF"/>
    </w:rPr>
  </w:style>
  <w:style w:type="paragraph" w:styleId="Akapitzlist">
    <w:name w:val="List Paragraph"/>
    <w:basedOn w:val="Normalny"/>
    <w:uiPriority w:val="34"/>
    <w:qFormat/>
    <w:rsid w:val="007F2DEB"/>
    <w:pPr>
      <w:ind w:left="720"/>
      <w:contextualSpacing/>
    </w:pPr>
  </w:style>
  <w:style w:type="character" w:styleId="Wyrnienieintensywne">
    <w:name w:val="Intense Emphasis"/>
    <w:basedOn w:val="Domylnaczcionkaakapitu"/>
    <w:uiPriority w:val="21"/>
    <w:qFormat/>
    <w:rsid w:val="007F2DEB"/>
    <w:rPr>
      <w:i/>
      <w:iCs/>
      <w:color w:val="0F4761" w:themeColor="accent1" w:themeShade="BF"/>
    </w:rPr>
  </w:style>
  <w:style w:type="paragraph" w:styleId="Cytatintensywny">
    <w:name w:val="Intense Quote"/>
    <w:basedOn w:val="Normalny"/>
    <w:next w:val="Normalny"/>
    <w:link w:val="CytatintensywnyZnak"/>
    <w:uiPriority w:val="30"/>
    <w:qFormat/>
    <w:rsid w:val="007F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DEB"/>
    <w:rPr>
      <w:i/>
      <w:iCs/>
      <w:color w:val="0F4761" w:themeColor="accent1" w:themeShade="BF"/>
    </w:rPr>
  </w:style>
  <w:style w:type="character" w:styleId="Odwoanieintensywne">
    <w:name w:val="Intense Reference"/>
    <w:basedOn w:val="Domylnaczcionkaakapitu"/>
    <w:uiPriority w:val="32"/>
    <w:qFormat/>
    <w:rsid w:val="007F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5384</Words>
  <Characters>32309</Characters>
  <Application>Microsoft Office Word</Application>
  <DocSecurity>4</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„Tu Mikołaj Grynberg”. Transkrypcja drugiego odcinka „Pani Stefa”</dc:title>
  <dc:subject/>
  <dc:creator>Młynarczyk Monika</dc:creator>
  <cp:keywords/>
  <dc:description/>
  <cp:lastModifiedBy>Cybulska Aleksandra</cp:lastModifiedBy>
  <cp:revision>2</cp:revision>
  <dcterms:created xsi:type="dcterms:W3CDTF">2025-10-03T07:54:00Z</dcterms:created>
  <dcterms:modified xsi:type="dcterms:W3CDTF">2025-10-03T07:54:00Z</dcterms:modified>
</cp:coreProperties>
</file>